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64748B"/>
          <w:sz w:val="22"/>
        </w:rPr>
        <w:t>PROYECTO FINAL DE MÁSTER DE FP (ENTREGABLE NF1)</w:t>
      </w:r>
    </w:p>
    <w:p>
      <w:pPr>
        <w:spacing w:after="120"/>
        <w:jc w:val="center"/>
      </w:pPr>
      <w:r>
        <w:rPr>
          <w:b/>
          <w:color w:val="105C48"/>
          <w:sz w:val="40"/>
        </w:rPr>
        <w:t>FarmaPredict: Sistema Inteligente de Predicción de Desabastecimientos, Optimización de Stock y Recomendación de Sustitutivos</w:t>
      </w:r>
    </w:p>
    <w:p>
      <w:pPr>
        <w:spacing w:after="320"/>
        <w:jc w:val="center"/>
      </w:pPr>
      <w:r>
        <w:rPr>
          <w:i/>
          <w:color w:val="0E7490"/>
          <w:sz w:val="22"/>
        </w:rPr>
        <w:t>Módulo C088: Proyecto de Inteligencia Artificial y Big Data | Planeta FP (Semestre 2609)</w:t>
      </w:r>
    </w:p>
    <w:tbl>
      <w:tblPr>
        <w:tblW w:type="auto" w:w="0"/>
        <w:jc w:val="center"/>
        <w:tblLayout w:type="fixed"/>
        <w:tblLook w:firstColumn="1" w:firstRow="1" w:lastColumn="0" w:lastRow="0" w:noHBand="0" w:noVBand="1" w:val="04A0"/>
      </w:tblPr>
      <w:tblGrid>
        <w:gridCol w:w="4680"/>
        <w:gridCol w:w="4680"/>
      </w:tblGrid>
      <w:tr>
        <w:tc>
          <w:tcPr>
            <w:tcW w:type="dxa" w:w="4680"/>
            <w:shd w:fill="F0FDF4"/>
            <w:tcMar>
              <w:top w:w="80" w:type="dxa"/>
              <w:bottom w:w="80" w:type="dxa"/>
              <w:left w:w="100" w:type="dxa"/>
              <w:right w:w="100" w:type="dxa"/>
            </w:tcMar>
          </w:tcPr>
          <w:p>
            <w:r>
              <w:rPr>
                <w:b/>
              </w:rPr>
              <w:t xml:space="preserve">Nombre de Archivo: </w:t>
            </w:r>
            <w:r>
              <w:t>NF1_Presentacion_alineacion_viabilidad_FarmaPredict.pdf</w:t>
            </w:r>
          </w:p>
        </w:tc>
        <w:tc>
          <w:tcPr>
            <w:tcW w:type="dxa" w:w="4680"/>
            <w:shd w:fill="F0FDF4"/>
            <w:tcMar>
              <w:top w:w="80" w:type="dxa"/>
              <w:bottom w:w="80" w:type="dxa"/>
              <w:left w:w="100" w:type="dxa"/>
              <w:right w:w="100" w:type="dxa"/>
            </w:tcMar>
          </w:tcPr>
          <w:p>
            <w:r>
              <w:rPr>
                <w:b/>
              </w:rPr>
              <w:t xml:space="preserve">Fecha Límite: </w:t>
            </w:r>
            <w:r>
              <w:t>22 de Septiembre de 2026</w:t>
            </w:r>
          </w:p>
        </w:tc>
      </w:tr>
      <w:tr>
        <w:tc>
          <w:tcPr>
            <w:tcW w:type="dxa" w:w="4680"/>
            <w:shd w:fill="F0FDF4"/>
            <w:tcMar>
              <w:top w:w="80" w:type="dxa"/>
              <w:bottom w:w="80" w:type="dxa"/>
              <w:left w:w="100" w:type="dxa"/>
              <w:right w:w="100" w:type="dxa"/>
            </w:tcMar>
          </w:tcPr>
          <w:p>
            <w:r>
              <w:rPr>
                <w:b/>
              </w:rPr>
              <w:t xml:space="preserve">Modalidad / Equipo: </w:t>
            </w:r>
            <w:r>
              <w:t>4 Desarrolladores (Data, ML, Backend, Frontend)</w:t>
            </w:r>
          </w:p>
        </w:tc>
        <w:tc>
          <w:tcPr>
            <w:tcW w:type="dxa" w:w="4680"/>
            <w:shd w:fill="F0FDF4"/>
            <w:tcMar>
              <w:top w:w="80" w:type="dxa"/>
              <w:bottom w:w="80" w:type="dxa"/>
              <w:left w:w="100" w:type="dxa"/>
              <w:right w:w="100" w:type="dxa"/>
            </w:tcMar>
          </w:tcPr>
          <w:p>
            <w:r>
              <w:rPr>
                <w:b/>
              </w:rPr>
              <w:t xml:space="preserve">Entorno Base: </w:t>
            </w:r>
            <w:r>
              <w:t>Docker Compose / Python 3.11</w:t>
            </w:r>
          </w:p>
        </w:tc>
      </w:tr>
    </w:tbl>
    <w:p/>
    <w:p>
      <w:pPr>
        <w:keepNext/>
        <w:spacing w:before="320" w:after="120"/>
      </w:pPr>
      <w:r>
        <w:rPr>
          <w:rFonts w:ascii="Arial" w:hAnsi="Arial"/>
          <w:b/>
          <w:color w:val="105C48"/>
          <w:sz w:val="30"/>
        </w:rPr>
        <w:t>1. Elevator Pitch y Planteamiento del Problema</w:t>
      </w:r>
    </w:p>
    <w:p>
      <w:r>
        <w:rPr>
          <w:b/>
        </w:rPr>
        <w:t xml:space="preserve">Elevator Pitch (Resumen Ejecutivo): </w:t>
      </w:r>
      <w:r>
        <w:t>Los problemas de suministro de medicamentos tensionan a diario a miles de farmacias y pacientes. FarmaPredict es una plataforma de Big Data e Inteligencia Artificial dirigida a oficinas de farmacia y distribuidores sanitarios que automatiza la ingesta de alertas de la AEMPS (CIMA), predice mediante Machine Learning la probabilidad de rotura de stock en los siguientes 30 días, calcula la previsión de demanda estacional y recomienda al instante medicamentos sustitutivos equivalentes por similitud ATC y composición semántica.</w:t>
      </w:r>
    </w:p>
    <w:p>
      <w:pPr>
        <w:keepNext/>
        <w:spacing w:before="240" w:after="80"/>
      </w:pPr>
      <w:r>
        <w:rPr>
          <w:rFonts w:ascii="Arial" w:hAnsi="Arial"/>
          <w:b/>
          <w:color w:val="0E7490"/>
          <w:sz w:val="25"/>
        </w:rPr>
        <w:t>1.1 Situación Actual, Impacto y Valor</w:t>
      </w:r>
    </w:p>
    <w:p>
      <w:pPr>
        <w:pStyle w:val="ListBullet"/>
      </w:pPr>
      <w:r>
        <w:rPr>
          <w:b/>
        </w:rPr>
        <w:t xml:space="preserve">Situación Actual: </w:t>
      </w:r>
      <w:r>
        <w:t>En España se registran continuamente cientos de incidencias de suministro de medicamentos críticos (antihistamínicos, antibióticos pediátricos, antidiabéticos). La información pública existe pero está dispersa en boletines sanitarios.</w:t>
      </w:r>
    </w:p>
    <w:p>
      <w:pPr>
        <w:pStyle w:val="ListBullet"/>
      </w:pPr>
      <w:r>
        <w:rPr>
          <w:b/>
        </w:rPr>
        <w:t xml:space="preserve">El Dolor (Impacto): </w:t>
      </w:r>
      <w:r>
        <w:t>Las farmacias sufren pérdidas de ventas, atascos en la atención al paciente y falta de previsión en sus pedidos. Los pacientes sufren interrupciones en sus tratamientos por no encontrar su fármaco o una alternativa equivalente en el acto.</w:t>
      </w:r>
    </w:p>
    <w:p>
      <w:pPr>
        <w:pStyle w:val="ListBullet"/>
      </w:pPr>
      <w:r>
        <w:rPr>
          <w:b/>
        </w:rPr>
        <w:t xml:space="preserve">Valor e Importancia: </w:t>
      </w:r>
      <w:r>
        <w:t>FarmaPredict aporta analítica predictiva de demanda y un motor de sustitución inmediata que optimiza las compras B2B de las farmacias y salvaguarda la continuidad asistencial del paciente.</w:t>
      </w:r>
    </w:p>
    <w:p>
      <w:pPr>
        <w:keepNext/>
        <w:spacing w:before="320" w:after="120"/>
      </w:pPr>
      <w:r>
        <w:rPr>
          <w:rFonts w:ascii="Arial" w:hAnsi="Arial"/>
          <w:b/>
          <w:color w:val="105C48"/>
          <w:sz w:val="30"/>
        </w:rPr>
        <w:t>2. Objetivo Principal y Alcance (IN / OUT)</w:t>
      </w:r>
    </w:p>
    <w:p>
      <w:r>
        <w:rPr>
          <w:b/>
        </w:rPr>
        <w:t xml:space="preserve">Objetivo Principal: </w:t>
      </w:r>
      <w:r>
        <w:t>Construir una plataforma cloud-native de Big Data e IA que permita procesar masivamente el catálogo oficial de medicamentos de la AEMPS, predecir el riesgo de desabastecimiento e integrar un motor de recomendación de sustitutivos terapéuticos para optimizar el inventario farmacéutico.</w:t>
      </w:r>
    </w:p>
    <w:p>
      <w:pPr>
        <w:keepNext/>
        <w:spacing w:before="240" w:after="80"/>
      </w:pPr>
      <w:r>
        <w:rPr>
          <w:rFonts w:ascii="Arial" w:hAnsi="Arial"/>
          <w:b/>
          <w:color w:val="0E7490"/>
          <w:sz w:val="25"/>
        </w:rPr>
        <w:t>2.1 Definición de Alcance Estricto</w:t>
      </w:r>
    </w:p>
    <w:tbl>
      <w:tblPr>
        <w:tblW w:type="auto" w:w="0"/>
        <w:jc w:val="center"/>
        <w:tblLook w:firstColumn="1" w:firstRow="1" w:lastColumn="0" w:lastRow="0" w:noHBand="0" w:noVBand="1" w:val="04A0"/>
        <w:tblBorders>
          <w:top w:val="single" w:sz="4" w:space="0" w:color="CBD5E1"/>
          <w:bottom w:val="single" w:sz="6" w:space="0" w:color="105C48"/>
          <w:left w:val="none"/>
          <w:right w:val="none"/>
          <w:insideH w:val="single" w:sz="4" w:space="0" w:color="CBD5E1"/>
          <w:insideV w:val="none"/>
        </w:tblBorders>
      </w:tblPr>
      <w:tblGrid>
        <w:gridCol w:w="4680"/>
        <w:gridCol w:w="4680"/>
      </w:tblGrid>
      <w:tr>
        <w:tc>
          <w:tcPr>
            <w:tcW w:type="dxa" w:w="4680"/>
            <w:shd w:fill="105C48"/>
            <w:tcMar>
              <w:top w:w="100" w:type="dxa"/>
              <w:bottom w:w="100" w:type="dxa"/>
              <w:left w:w="100" w:type="dxa"/>
              <w:right w:w="100" w:type="dxa"/>
            </w:tcMar>
          </w:tcPr>
          <w:p>
            <w:r>
              <w:rPr>
                <w:b/>
                <w:color w:val="FFFFFF"/>
              </w:rPr>
              <w:t>DENTRO DEL ALCANCE (IN)</w:t>
            </w:r>
          </w:p>
        </w:tc>
        <w:tc>
          <w:tcPr>
            <w:tcW w:type="dxa" w:w="4680"/>
            <w:shd w:fill="1E3A8A"/>
            <w:tcMar>
              <w:top w:w="100" w:type="dxa"/>
              <w:bottom w:w="100" w:type="dxa"/>
              <w:left w:w="100" w:type="dxa"/>
              <w:right w:w="100" w:type="dxa"/>
            </w:tcMar>
          </w:tcPr>
          <w:p>
            <w:r>
              <w:rPr>
                <w:b/>
                <w:color w:val="FFFFFF"/>
              </w:rPr>
              <w:t>FUERA DEL ALCANCE (OUT)</w:t>
            </w:r>
          </w:p>
        </w:tc>
      </w:tr>
      <w:tr>
        <w:tc>
          <w:tcPr>
            <w:tcW w:type="dxa" w:w="4680"/>
            <w:tcMar>
              <w:top w:w="80" w:type="dxa"/>
              <w:bottom w:w="80" w:type="dxa"/>
              <w:left w:w="100" w:type="dxa"/>
              <w:right w:w="100" w:type="dxa"/>
            </w:tcMar>
          </w:tcPr>
          <w:p>
            <w:r>
              <w:t>✓ Ingesta y ETL programada con Apache Airflow desde la API REST oficial de AEMPS (CIMA).</w:t>
            </w:r>
          </w:p>
        </w:tc>
        <w:tc>
          <w:tcPr>
            <w:tcW w:type="dxa" w:w="4680"/>
            <w:tcMar>
              <w:top w:w="80" w:type="dxa"/>
              <w:bottom w:w="80" w:type="dxa"/>
              <w:left w:w="100" w:type="dxa"/>
              <w:right w:w="100" w:type="dxa"/>
            </w:tcMar>
          </w:tcPr>
          <w:p>
            <w:r>
              <w:t>✗ Integración hardware directa con robots de almacenamiento físico de farmacias.</w:t>
            </w:r>
          </w:p>
        </w:tc>
      </w:tr>
      <w:tr>
        <w:tc>
          <w:tcPr>
            <w:tcW w:type="dxa" w:w="4680"/>
            <w:shd w:fill="F8FAFC"/>
            <w:tcMar>
              <w:top w:w="80" w:type="dxa"/>
              <w:bottom w:w="80" w:type="dxa"/>
              <w:left w:w="100" w:type="dxa"/>
              <w:right w:w="100" w:type="dxa"/>
            </w:tcMar>
          </w:tcPr>
          <w:p>
            <w:r>
              <w:t>✓ Procesamiento masivo de histórico de alertas y productos con PySpark.</w:t>
            </w:r>
          </w:p>
        </w:tc>
        <w:tc>
          <w:tcPr>
            <w:tcW w:type="dxa" w:w="4680"/>
            <w:shd w:fill="F8FAFC"/>
            <w:tcMar>
              <w:top w:w="80" w:type="dxa"/>
              <w:bottom w:w="80" w:type="dxa"/>
              <w:left w:w="100" w:type="dxa"/>
              <w:right w:w="100" w:type="dxa"/>
            </w:tcMar>
          </w:tcPr>
          <w:p>
            <w:r>
              <w:t>✗ Conexión de escritura automatizada sobre ERPs propietarios de recetas electrónicas.</w:t>
            </w:r>
          </w:p>
        </w:tc>
      </w:tr>
      <w:tr>
        <w:tc>
          <w:tcPr>
            <w:tcW w:type="dxa" w:w="4680"/>
            <w:tcMar>
              <w:top w:w="80" w:type="dxa"/>
              <w:bottom w:w="80" w:type="dxa"/>
              <w:left w:w="100" w:type="dxa"/>
              <w:right w:w="100" w:type="dxa"/>
            </w:tcMar>
          </w:tcPr>
          <w:p>
            <w:r>
              <w:t>✓ Modelo ML de clasificación (XGBoost) para predecir probabilidad de desabastecimiento.</w:t>
            </w:r>
          </w:p>
        </w:tc>
        <w:tc>
          <w:tcPr>
            <w:tcW w:type="dxa" w:w="4680"/>
            <w:tcMar>
              <w:top w:w="80" w:type="dxa"/>
              <w:bottom w:w="80" w:type="dxa"/>
              <w:left w:w="100" w:type="dxa"/>
              <w:right w:w="100" w:type="dxa"/>
            </w:tcMar>
          </w:tcPr>
          <w:p>
            <w:r>
              <w:t>✗ Desarrollo de aplicaciones móviles nativas (iOS/Android).</w:t>
            </w:r>
          </w:p>
        </w:tc>
      </w:tr>
      <w:tr>
        <w:tc>
          <w:tcPr>
            <w:tcW w:type="dxa" w:w="4680"/>
            <w:shd w:fill="F8FAFC"/>
            <w:tcMar>
              <w:top w:w="80" w:type="dxa"/>
              <w:bottom w:w="80" w:type="dxa"/>
              <w:left w:w="100" w:type="dxa"/>
              <w:right w:w="100" w:type="dxa"/>
            </w:tcMar>
          </w:tcPr>
          <w:p>
            <w:r>
              <w:t>✓ Modelo de series temporales (Prophet) para previsión de demanda estacional por código ATC.</w:t>
            </w:r>
          </w:p>
        </w:tc>
        <w:tc>
          <w:tcPr>
            <w:tcW w:type="dxa" w:w="4680"/>
            <w:shd w:fill="F8FAFC"/>
            <w:tcMar>
              <w:top w:w="80" w:type="dxa"/>
              <w:bottom w:w="80" w:type="dxa"/>
              <w:left w:w="100" w:type="dxa"/>
              <w:right w:w="100" w:type="dxa"/>
            </w:tcMar>
          </w:tcPr>
          <w:p>
            <w:r>
              <w:t>✗ Diagnóstico médico o prescripción clínica automatizada.</w:t>
            </w:r>
          </w:p>
        </w:tc>
      </w:tr>
      <w:tr>
        <w:tc>
          <w:tcPr>
            <w:tcW w:type="dxa" w:w="4680"/>
            <w:tcMar>
              <w:top w:w="80" w:type="dxa"/>
              <w:bottom w:w="80" w:type="dxa"/>
              <w:left w:w="100" w:type="dxa"/>
              <w:right w:w="100" w:type="dxa"/>
            </w:tcMar>
          </w:tcPr>
          <w:p>
            <w:r>
              <w:t>✓ Motor de recomendación de sustitutivos vectorizado (Qdrant) basado en principio activo y forma.</w:t>
            </w:r>
          </w:p>
        </w:tc>
        <w:tc>
          <w:tcPr>
            <w:tcW w:type="dxa" w:w="4680"/>
            <w:tcMar>
              <w:top w:w="80" w:type="dxa"/>
              <w:bottom w:w="80" w:type="dxa"/>
              <w:left w:w="100" w:type="dxa"/>
              <w:right w:w="100" w:type="dxa"/>
            </w:tcMar>
          </w:tcPr>
          <w:p/>
        </w:tc>
      </w:tr>
      <w:tr>
        <w:tc>
          <w:tcPr>
            <w:tcW w:type="dxa" w:w="4680"/>
            <w:shd w:fill="F8FAFC"/>
            <w:tcMar>
              <w:top w:w="80" w:type="dxa"/>
              <w:bottom w:w="80" w:type="dxa"/>
              <w:left w:w="100" w:type="dxa"/>
              <w:right w:w="100" w:type="dxa"/>
            </w:tcMar>
          </w:tcPr>
          <w:p>
            <w:r>
              <w:t>✓ API REST asíncrona en FastAPI empaquetada en Docker Compose.</w:t>
            </w:r>
          </w:p>
        </w:tc>
        <w:tc>
          <w:tcPr>
            <w:tcW w:type="dxa" w:w="4680"/>
            <w:shd w:fill="F8FAFC"/>
            <w:tcMar>
              <w:top w:w="80" w:type="dxa"/>
              <w:bottom w:w="80" w:type="dxa"/>
              <w:left w:w="100" w:type="dxa"/>
              <w:right w:w="100" w:type="dxa"/>
            </w:tcMar>
          </w:tcPr>
          <w:p/>
        </w:tc>
      </w:tr>
      <w:tr>
        <w:tc>
          <w:tcPr>
            <w:tcW w:type="dxa" w:w="4680"/>
            <w:tcMar>
              <w:top w:w="80" w:type="dxa"/>
              <w:bottom w:w="80" w:type="dxa"/>
              <w:left w:w="100" w:type="dxa"/>
              <w:right w:w="100" w:type="dxa"/>
            </w:tcMar>
          </w:tcPr>
          <w:p>
            <w:r>
              <w:t>✓ Dashboard interactivo en Streamlit con mapa de alertas y simulador de pedidos.</w:t>
            </w:r>
          </w:p>
        </w:tc>
        <w:tc>
          <w:tcPr>
            <w:tcW w:type="dxa" w:w="4680"/>
            <w:tcMar>
              <w:top w:w="80" w:type="dxa"/>
              <w:bottom w:w="80" w:type="dxa"/>
              <w:left w:w="100" w:type="dxa"/>
              <w:right w:w="100" w:type="dxa"/>
            </w:tcMar>
          </w:tcPr>
          <w:p/>
        </w:tc>
      </w:tr>
    </w:tbl>
    <w:p/>
    <w:p>
      <w:pPr>
        <w:keepNext/>
        <w:spacing w:before="320" w:after="120"/>
      </w:pPr>
      <w:r>
        <w:rPr>
          <w:rFonts w:ascii="Arial" w:hAnsi="Arial"/>
          <w:b/>
          <w:color w:val="105C48"/>
          <w:sz w:val="30"/>
        </w:rPr>
        <w:t>3. Stakeholders y Arquitectura de la Solución</w:t>
      </w:r>
    </w:p>
    <w:p>
      <w:r>
        <w:rPr>
          <w:b/>
        </w:rPr>
        <w:t xml:space="preserve">Partes Interesadas: </w:t>
      </w:r>
      <w:r>
        <w:t>Usuarios principales: Farmacéuticos titulares y gestores de compras. Decisores B2B: Cooperativas de distribución farmacéutica y cadenas de farmacias. Beneficiarios finales: Pacientes que evitan la interrupción de sus tratamientos.</w:t>
      </w:r>
    </w:p>
    <w:p>
      <w:pPr>
        <w:keepNext/>
        <w:spacing w:before="240" w:after="80"/>
      </w:pPr>
      <w:r>
        <w:rPr>
          <w:rFonts w:ascii="Arial" w:hAnsi="Arial"/>
          <w:b/>
          <w:color w:val="0E7490"/>
          <w:sz w:val="25"/>
        </w:rPr>
        <w:t>3.1 Componentes de la Arquitectura (Alto Nivel)</w:t>
      </w:r>
    </w:p>
    <w:p>
      <w:pPr>
        <w:pStyle w:val="ListBullet"/>
      </w:pPr>
      <w:r>
        <w:rPr>
          <w:b/>
        </w:rPr>
        <w:t xml:space="preserve">Capa de Ingesta &amp; ETL: </w:t>
      </w:r>
      <w:r>
        <w:t>Apache Airflow orquestando scripts Python para consumir la API de AEMPS (CIMA) y PySpark para transformación masiva de datos de catálogo.</w:t>
      </w:r>
    </w:p>
    <w:p>
      <w:pPr>
        <w:pStyle w:val="ListBullet"/>
      </w:pPr>
      <w:r>
        <w:rPr>
          <w:b/>
        </w:rPr>
        <w:t xml:space="preserve">Capa de Almacenamiento: </w:t>
      </w:r>
      <w:r>
        <w:t>PostgreSQL para persistencia relacional de medicamentos y transacciones; Qdrant para búsquedas vectoriales por principios activos y prospectos.</w:t>
      </w:r>
    </w:p>
    <w:p>
      <w:pPr>
        <w:pStyle w:val="ListBullet"/>
      </w:pPr>
      <w:r>
        <w:rPr>
          <w:b/>
        </w:rPr>
        <w:t xml:space="preserve">Capa de IA / ML: </w:t>
      </w:r>
      <w:r>
        <w:t>XGBoost para estimación de riesgo de rotura; Prophet para predicción estacional de demanda; Embeddings para similitud de fármacos.</w:t>
      </w:r>
    </w:p>
    <w:p>
      <w:pPr>
        <w:pStyle w:val="ListBullet"/>
      </w:pPr>
      <w:r>
        <w:rPr>
          <w:b/>
        </w:rPr>
        <w:t xml:space="preserve">Capa de API &amp; MLOps: </w:t>
      </w:r>
      <w:r>
        <w:t>FastAPI exponiendo endpoints REST optimizados, empaquetado en Docker Compose para despliegue inmediato.</w:t>
      </w:r>
    </w:p>
    <w:p>
      <w:pPr>
        <w:pStyle w:val="ListBullet"/>
      </w:pPr>
      <w:r>
        <w:rPr>
          <w:b/>
        </w:rPr>
        <w:t xml:space="preserve">Capa de Presentación: </w:t>
      </w:r>
      <w:r>
        <w:t>Dashboard interactivo en Streamlit con visualización Plotly para semáforos de stock y comparador de sustitutivos.</w:t>
      </w:r>
    </w:p>
    <w:p>
      <w:pPr>
        <w:keepNext/>
        <w:spacing w:before="320" w:after="120"/>
      </w:pPr>
      <w:r>
        <w:rPr>
          <w:rFonts w:ascii="Arial" w:hAnsi="Arial"/>
          <w:b/>
          <w:color w:val="105C48"/>
          <w:sz w:val="30"/>
        </w:rPr>
        <w:t>4. Estimación de Datos, Viabilidad y Gestión de Riesgos</w:t>
      </w:r>
    </w:p>
    <w:p>
      <w:r>
        <w:rPr>
          <w:b/>
        </w:rPr>
        <w:t xml:space="preserve">Origen y Naturaleza de los Datos: </w:t>
      </w:r>
      <w:r>
        <w:t>Se utilizan datos públicos reales de la API REST oficial de AEMPS CIMA (más de 15.000 medicamentos registrados, fichas técnicas, códigos ATC y problemas de suministro). Para simular volúmenes de Big Data transaccionales por oficina de farmacia, se empleará un generador sintético en Python (`Faker` + `NumPy`) que replica picos de demanda estacionales. No se tratan datos de salud de carácter personal (cumplimiento RGPD por diseño).</w:t>
      </w:r>
    </w:p>
    <w:p>
      <w:pPr>
        <w:keepNext/>
        <w:spacing w:before="240" w:after="80"/>
      </w:pPr>
      <w:r>
        <w:rPr>
          <w:rFonts w:ascii="Arial" w:hAnsi="Arial"/>
          <w:b/>
          <w:color w:val="0E7490"/>
          <w:sz w:val="25"/>
        </w:rPr>
        <w:t>4.1 Matriz de Análisis de Riesgos y Mitigación</w:t>
      </w:r>
    </w:p>
    <w:tbl>
      <w:tblPr>
        <w:tblW w:type="auto" w:w="0"/>
        <w:jc w:val="center"/>
        <w:tblLook w:firstColumn="1" w:firstRow="1" w:lastColumn="0" w:lastRow="0" w:noHBand="0" w:noVBand="1" w:val="04A0"/>
        <w:tblBorders>
          <w:top w:val="single" w:sz="4" w:space="0" w:color="CBD5E1"/>
          <w:bottom w:val="single" w:sz="6" w:space="0" w:color="105C48"/>
          <w:left w:val="none"/>
          <w:right w:val="none"/>
          <w:insideH w:val="single" w:sz="4" w:space="0" w:color="CBD5E1"/>
          <w:insideV w:val="none"/>
        </w:tblBorders>
      </w:tblPr>
      <w:tblGrid>
        <w:gridCol w:w="3120"/>
        <w:gridCol w:w="3120"/>
        <w:gridCol w:w="3120"/>
      </w:tblGrid>
      <w:tr>
        <w:tc>
          <w:tcPr>
            <w:tcW w:type="dxa" w:w="3120"/>
            <w:shd w:fill="105C48"/>
            <w:tcMar>
              <w:top w:w="100" w:type="dxa"/>
              <w:bottom w:w="100" w:type="dxa"/>
              <w:left w:w="100" w:type="dxa"/>
              <w:right w:w="100" w:type="dxa"/>
            </w:tcMar>
          </w:tcPr>
          <w:p>
            <w:r>
              <w:rPr>
                <w:b/>
                <w:color w:val="FFFFFF"/>
              </w:rPr>
              <w:t>Riesgo Identificado</w:t>
            </w:r>
          </w:p>
        </w:tc>
        <w:tc>
          <w:tcPr>
            <w:tcW w:type="dxa" w:w="3120"/>
            <w:shd w:fill="105C48"/>
            <w:tcMar>
              <w:top w:w="100" w:type="dxa"/>
              <w:bottom w:w="100" w:type="dxa"/>
              <w:left w:w="100" w:type="dxa"/>
              <w:right w:w="100" w:type="dxa"/>
            </w:tcMar>
          </w:tcPr>
          <w:p>
            <w:r>
              <w:rPr>
                <w:b/>
                <w:color w:val="FFFFFF"/>
              </w:rPr>
              <w:t>Nivel de Impacto</w:t>
            </w:r>
          </w:p>
        </w:tc>
        <w:tc>
          <w:tcPr>
            <w:tcW w:type="dxa" w:w="3120"/>
            <w:shd w:fill="105C48"/>
            <w:tcMar>
              <w:top w:w="100" w:type="dxa"/>
              <w:bottom w:w="100" w:type="dxa"/>
              <w:left w:w="100" w:type="dxa"/>
              <w:right w:w="100" w:type="dxa"/>
            </w:tcMar>
          </w:tcPr>
          <w:p>
            <w:r>
              <w:rPr>
                <w:b/>
                <w:color w:val="FFFFFF"/>
              </w:rPr>
              <w:t>Plan de Mitigación / Plan B</w:t>
            </w:r>
          </w:p>
        </w:tc>
      </w:tr>
      <w:tr>
        <w:tc>
          <w:tcPr>
            <w:tcW w:type="dxa" w:w="3120"/>
            <w:tcMar>
              <w:top w:w="80" w:type="dxa"/>
              <w:bottom w:w="80" w:type="dxa"/>
              <w:left w:w="100" w:type="dxa"/>
              <w:right w:w="100" w:type="dxa"/>
            </w:tcMar>
          </w:tcPr>
          <w:p>
            <w:r>
              <w:rPr>
                <w:b/>
              </w:rPr>
              <w:t>Caída o cambios en la API pública de CIMA</w:t>
            </w:r>
          </w:p>
        </w:tc>
        <w:tc>
          <w:tcPr>
            <w:tcW w:type="dxa" w:w="3120"/>
            <w:tcMar>
              <w:top w:w="80" w:type="dxa"/>
              <w:bottom w:w="80" w:type="dxa"/>
              <w:left w:w="100" w:type="dxa"/>
              <w:right w:w="100" w:type="dxa"/>
            </w:tcMar>
          </w:tcPr>
          <w:p>
            <w:r>
              <w:t>Alto</w:t>
            </w:r>
          </w:p>
        </w:tc>
        <w:tc>
          <w:tcPr>
            <w:tcW w:type="dxa" w:w="3120"/>
            <w:tcMar>
              <w:top w:w="80" w:type="dxa"/>
              <w:bottom w:w="80" w:type="dxa"/>
              <w:left w:w="100" w:type="dxa"/>
              <w:right w:w="100" w:type="dxa"/>
            </w:tcMar>
          </w:tcPr>
          <w:p>
            <w:r>
              <w:t>Implementar caché local en PostgreSQL y sistema de fallback con snapshots diarios descargados.</w:t>
            </w:r>
          </w:p>
        </w:tc>
      </w:tr>
      <w:tr>
        <w:tc>
          <w:tcPr>
            <w:tcW w:type="dxa" w:w="3120"/>
            <w:shd w:fill="F8FAFC"/>
            <w:tcMar>
              <w:top w:w="80" w:type="dxa"/>
              <w:bottom w:w="80" w:type="dxa"/>
              <w:left w:w="100" w:type="dxa"/>
              <w:right w:w="100" w:type="dxa"/>
            </w:tcMar>
          </w:tcPr>
          <w:p>
            <w:r>
              <w:rPr>
                <w:b/>
              </w:rPr>
              <w:t>Modelos ML con baja precisión inicial</w:t>
            </w:r>
          </w:p>
        </w:tc>
        <w:tc>
          <w:tcPr>
            <w:tcW w:type="dxa" w:w="3120"/>
            <w:shd w:fill="F8FAFC"/>
            <w:tcMar>
              <w:top w:w="80" w:type="dxa"/>
              <w:bottom w:w="80" w:type="dxa"/>
              <w:left w:w="100" w:type="dxa"/>
              <w:right w:w="100" w:type="dxa"/>
            </w:tcMar>
          </w:tcPr>
          <w:p>
            <w:r>
              <w:t>Medio</w:t>
            </w:r>
          </w:p>
        </w:tc>
        <w:tc>
          <w:tcPr>
            <w:tcW w:type="dxa" w:w="3120"/>
            <w:shd w:fill="F8FAFC"/>
            <w:tcMar>
              <w:top w:w="80" w:type="dxa"/>
              <w:bottom w:w="80" w:type="dxa"/>
              <w:left w:w="100" w:type="dxa"/>
              <w:right w:w="100" w:type="dxa"/>
            </w:tcMar>
          </w:tcPr>
          <w:p>
            <w:r>
              <w:t>Simplificar la predicción de serie temporal a categorías ordinales de riesgo (Bajo/Medio/Alto).</w:t>
            </w:r>
          </w:p>
        </w:tc>
      </w:tr>
      <w:tr>
        <w:tc>
          <w:tcPr>
            <w:tcW w:type="dxa" w:w="3120"/>
            <w:tcMar>
              <w:top w:w="80" w:type="dxa"/>
              <w:bottom w:w="80" w:type="dxa"/>
              <w:left w:w="100" w:type="dxa"/>
              <w:right w:w="100" w:type="dxa"/>
            </w:tcMar>
          </w:tcPr>
          <w:p>
            <w:r>
              <w:rPr>
                <w:b/>
              </w:rPr>
              <w:t>Desviación en el alcance del proyecto</w:t>
            </w:r>
          </w:p>
        </w:tc>
        <w:tc>
          <w:tcPr>
            <w:tcW w:type="dxa" w:w="3120"/>
            <w:tcMar>
              <w:top w:w="80" w:type="dxa"/>
              <w:bottom w:w="80" w:type="dxa"/>
              <w:left w:w="100" w:type="dxa"/>
              <w:right w:w="100" w:type="dxa"/>
            </w:tcMar>
          </w:tcPr>
          <w:p>
            <w:r>
              <w:t>Alto</w:t>
            </w:r>
          </w:p>
        </w:tc>
        <w:tc>
          <w:tcPr>
            <w:tcW w:type="dxa" w:w="3120"/>
            <w:tcMar>
              <w:top w:w="80" w:type="dxa"/>
              <w:bottom w:w="80" w:type="dxa"/>
              <w:left w:w="100" w:type="dxa"/>
              <w:right w:w="100" w:type="dxa"/>
            </w:tcMar>
          </w:tcPr>
          <w:p>
            <w:r>
              <w:t>Revisión estricta de tareas semanales según la matriz IN/OUT definida en el presente documento.</w:t>
            </w:r>
          </w:p>
        </w:tc>
      </w:tr>
    </w:tbl>
    <w:p/>
    <w:p>
      <w:pPr>
        <w:keepNext/>
        <w:spacing w:before="320" w:after="120"/>
      </w:pPr>
      <w:r>
        <w:rPr>
          <w:rFonts w:ascii="Arial" w:hAnsi="Arial"/>
          <w:b/>
          <w:color w:val="105C48"/>
          <w:sz w:val="30"/>
        </w:rPr>
        <w:t>5. Reparto de Tareas por Roles (4 Personas) y Próximos Pasos</w:t>
      </w:r>
    </w:p>
    <w:p>
      <w:pPr>
        <w:pStyle w:val="ListBullet"/>
      </w:pPr>
      <w:r>
        <w:rPr>
          <w:b/>
        </w:rPr>
        <w:t xml:space="preserve">Data Engineer (Rol 1): </w:t>
      </w:r>
      <w:r>
        <w:t>Diseño de la base de datos PostgreSQL, desarrollo del pipeline de extracción de la API CIMA y DAGs de orquestación en Apache Airflow con transformaciones en PySpark.</w:t>
      </w:r>
    </w:p>
    <w:p>
      <w:pPr>
        <w:pStyle w:val="ListBullet"/>
      </w:pPr>
      <w:r>
        <w:rPr>
          <w:b/>
        </w:rPr>
        <w:t xml:space="preserve">ML Engineer (Rol 2): </w:t>
      </w:r>
      <w:r>
        <w:t>Feature engineering sobre datos de suministro, configuración de base vectorial Qdrant para códigos ATC, entrenamiento del modelo XGBoost y Prophet.</w:t>
      </w:r>
    </w:p>
    <w:p>
      <w:pPr>
        <w:pStyle w:val="ListBullet"/>
      </w:pPr>
      <w:r>
        <w:rPr>
          <w:b/>
        </w:rPr>
        <w:t xml:space="preserve">Backend &amp; MLOps Developer (Rol 3): </w:t>
      </w:r>
      <w:r>
        <w:t>Desarrollo de la API REST en FastAPI, servicios de inferencia ML en tiempo real, Docker Compose de la solución y tests automatizados con PyTest.</w:t>
      </w:r>
    </w:p>
    <w:p>
      <w:pPr>
        <w:pStyle w:val="ListBullet"/>
      </w:pPr>
      <w:r>
        <w:rPr>
          <w:b/>
        </w:rPr>
        <w:t xml:space="preserve">BI &amp; DataViz Engineer (Rol 4): </w:t>
      </w:r>
      <w:r>
        <w:t>Diseño del frontend interactivo en Streamlit, cuadro de mando de alertas de suministro, simulador de pedidos y documentación técnica del repositorio.</w:t>
      </w:r>
    </w:p>
    <w:p>
      <w:pPr>
        <w:keepNext/>
        <w:spacing w:before="240" w:after="80"/>
      </w:pPr>
      <w:r>
        <w:rPr>
          <w:rFonts w:ascii="Arial" w:hAnsi="Arial"/>
          <w:b/>
          <w:color w:val="0E7490"/>
          <w:sz w:val="25"/>
        </w:rPr>
        <w:t>5.1 Próximos Pasos Inmediatos (Primeros 7 Días)</w:t>
      </w:r>
    </w:p>
    <w:p>
      <w:pPr>
        <w:pStyle w:val="ListBullet"/>
      </w:pPr>
      <w:r>
        <w:t>Crear el repositorio central en GitHub y configurar permisos para el equipo.</w:t>
      </w:r>
    </w:p>
    <w:p>
      <w:pPr>
        <w:pStyle w:val="ListBullet"/>
      </w:pPr>
      <w:r>
        <w:t>Implementar la estructura de carpetas base (`docs/`, `src/`, `data/`, `environment/`) según las especificaciones del máster.</w:t>
      </w:r>
    </w:p>
    <w:p>
      <w:pPr>
        <w:pStyle w:val="ListBullet"/>
      </w:pPr>
      <w:r>
        <w:t>Probar la llamada inicial a la API pública de AEMPS CIMA y guardar un dataset preliminar JSON en `data/`.</w:t>
      </w:r>
    </w:p>
    <w:p>
      <w:pPr>
        <w:pStyle w:val="ListBullet"/>
      </w:pPr>
      <w:r>
        <w:t>Redactar el `README.md` inicial con la descripción del proyecto y crear la lista de issues en GitHub Projects para el Sprint 1.</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05C48"/>
              <w:bottom w:val="none"/>
              <w:right w:val="none"/>
            </w:tcBorders>
          </w:tcPr>
          <w:p>
            <w:pPr>
              <w:spacing w:after="40"/>
            </w:pPr>
            <w:r>
              <w:rPr>
                <w:b/>
                <w:color w:val="105C48"/>
                <w:sz w:val="20"/>
              </w:rPr>
              <w:t>📌 EVIDENCIA DE EQUIPO — RESUMEN DEL ACUERDO DE TRABAJO</w:t>
              <w:br/>
            </w:r>
            <w:r>
              <w:rPr>
                <w:color w:val="2C3E50"/>
                <w:sz w:val="19"/>
              </w:rPr>
              <w:t>Canal principal: Discord / WhatsApp. Reuniones fijas: Martes y Jueves (19:00h). Regla Git: Prohibido push a main sin Pull Request (PR) aprobada por al menos 1 compañero y con issue asignada.</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