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66534"/>
          <w:sz w:val="56"/>
        </w:rPr>
        <w:t>ВЕТЕРИНАР НА ДОМ</w:t>
      </w:r>
    </w:p>
    <w:p>
      <w:pPr>
        <w:jc w:val="center"/>
      </w:pPr>
      <w:r>
        <w:rPr>
          <w:b/>
          <w:color w:val="061009"/>
          <w:sz w:val="44"/>
        </w:rPr>
        <w:t>Бизнес-план и инвестиционная модель</w:t>
      </w:r>
    </w:p>
    <w:p>
      <w:pPr>
        <w:jc w:val="center"/>
      </w:pPr>
      <w:r>
        <w:rPr>
          <w:color w:val="22C55E"/>
          <w:sz w:val="24"/>
        </w:rPr>
        <w:t>Москва  ·  Казань  ·  Хабаровск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217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ve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Инвестиции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Базовый средний чек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Цель месяца 5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3 650 000 ₽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2 850 ₽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2 110 000 ₽ чистой прибыли</w:t>
            </w:r>
          </w:p>
        </w:tc>
      </w:tr>
    </w:tbl>
    <w:p/>
    <w:p>
      <w:pPr>
        <w:jc w:val="center"/>
      </w:pPr>
      <w:r>
        <w:rPr>
          <w:i/>
        </w:rPr>
        <w:t>Консервативный сценарий развития на первые пять месяцев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  <w:spacing w:before="240" w:after="120"/>
      </w:pPr>
      <w:r>
        <w:t>1. Резюме проекта</w:t>
      </w:r>
    </w:p>
    <w:p>
      <w:r>
        <w:t>«Ветеринар на дом» — сервис выездной ветеринарной помощи, построенный вокруг понятных, массовых и регулярно повторяющихся процедур. Основной продукт — вакцинация животных на дому. Дополнительные услуги увеличивают частоту обращений и выручку с одного районного маршрута без необходимости строить собственную сеть клиник.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E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b/>
                <w:color w:val="166534"/>
                <w:sz w:val="22"/>
              </w:rPr>
              <w:t>Инвестиционный тезис</w:t>
              <w:br/>
            </w:r>
            <w:r>
              <w:rPr>
                <w:color w:val="061009"/>
                <w:sz w:val="21"/>
              </w:rPr>
              <w:t>Доступная услуга сегодня — масштабируемая сеть завтра. Базовый сценарий предполагает выход на положительный операционный поток во втором месяце и более 2 млн ₽ чистой прибыли в месяц к пятому месяцу.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Ключевой показатель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План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Первоначальные вложения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3 650 000 ₽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Города запуска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Москва, Казань, Хабаровск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Заказы в месяце 5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2 600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Оборот в месяце 5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7 410 000 ₽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Чистая прибыль в месяце 5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2 110 000 ₽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Накопленный результат за 5 месяцев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4 880 000 ₽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Операционная окупаемость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Положительный поток со 2-го месяца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Возврат вложений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Планово — в 5-м месяце</w:t>
            </w:r>
          </w:p>
        </w:tc>
      </w:tr>
    </w:tbl>
    <w:p/>
    <w:p>
      <w:pPr>
        <w:pStyle w:val="Heading1"/>
        <w:spacing w:before="240" w:after="120"/>
      </w:pPr>
      <w:r>
        <w:t>2. Проблема и решение</w:t>
      </w:r>
    </w:p>
    <w:p>
      <w:pPr>
        <w:pStyle w:val="Heading2"/>
        <w:spacing w:before="140" w:after="120"/>
      </w:pPr>
      <w:r>
        <w:t>Проблема клиента</w:t>
      </w:r>
    </w:p>
    <w:p>
      <w:pPr>
        <w:pStyle w:val="ListBullet"/>
      </w:pPr>
      <w:r>
        <w:t>Поездка в клинику требует времени и создаёт стресс для животного.</w:t>
      </w:r>
    </w:p>
    <w:p>
      <w:pPr>
        <w:pStyle w:val="ListBullet"/>
      </w:pPr>
      <w:r>
        <w:t>Для ежегодной вакцинации и простых процедур стационарная клиника часто избыточна.</w:t>
      </w:r>
    </w:p>
    <w:p>
      <w:pPr>
        <w:pStyle w:val="ListBullet"/>
      </w:pPr>
      <w:r>
        <w:t>Клиенту важны понятная цена, быстрое назначение врача и возможность получить несколько услуг за один визит.</w:t>
      </w:r>
    </w:p>
    <w:p>
      <w:pPr>
        <w:pStyle w:val="Heading2"/>
        <w:spacing w:before="140" w:after="120"/>
      </w:pPr>
      <w:r>
        <w:t>Решение</w:t>
      </w:r>
    </w:p>
    <w:p>
      <w:pPr>
        <w:pStyle w:val="ListBullet"/>
      </w:pPr>
      <w:r>
        <w:t>Ветеринар приезжает домой в выбранный временной интервал.</w:t>
      </w:r>
    </w:p>
    <w:p>
      <w:pPr>
        <w:pStyle w:val="ListBullet"/>
      </w:pPr>
      <w:r>
        <w:t>CRM объединяет заявки, врачей, услуги, маршруты и финансовый контроль.</w:t>
      </w:r>
    </w:p>
    <w:p>
      <w:pPr>
        <w:pStyle w:val="ListBullet"/>
      </w:pPr>
      <w:r>
        <w:t>Районное планирование сокращает переезды и позволяет выполнять 4,8–5 заказов на врача за смену.</w:t>
      </w:r>
    </w:p>
    <w:p>
      <w:pPr>
        <w:pStyle w:val="ListBullet"/>
      </w:pPr>
      <w:r>
        <w:t>История клиента поддерживает повторные вакцинации, профилактику и рекомендации дополнительных услуг.</w:t>
      </w:r>
    </w:p>
    <w:p>
      <w:pPr>
        <w:pStyle w:val="Heading1"/>
        <w:spacing w:before="240" w:after="120"/>
      </w:pPr>
      <w:r>
        <w:t>3. Продукт и каталог услуг</w:t>
      </w:r>
    </w:p>
    <w:p>
      <w:r>
        <w:t>Около 50% заказов в базовой модели формирует вакцинация. Она создаёт ежегодный повторяемый спрос и служит удобной точкой входа для клиента. Остальной каталог состоит преимущественно из простых процедур, которые можно выполнять на дому.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Ориентир цены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Роль в модели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Вакцинация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от 2 490 ₽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Основной массовый продукт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Профилактический осмотр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от 1 490 ₽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Первичный контакт и повторные визиты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Обработка от паразитов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от 1 290 ₽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Регулярный профилактический спрос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Чипирование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от 2 490 ₽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Дополнительная процедура к визиту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Анализы, паспорт, инъекции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индивидуально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Повышение ценности маршрута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Когти и уши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от 790 ₽ в составе визита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Доступная допродажа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E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b/>
                <w:color w:val="166534"/>
                <w:sz w:val="22"/>
              </w:rPr>
              <w:t>Важно о среднем чеке</w:t>
              <w:br/>
            </w:r>
            <w:r>
              <w:rPr>
                <w:color w:val="061009"/>
                <w:sz w:val="21"/>
              </w:rPr>
              <w:t>2 850–3 000 ₽ — консервативный расчётный показатель, а не фактический потолок. УЗИ, кардиология, профильные консультации, расширенная диагностика, сложные анализы и хирургические процедуры не включены в базовый сценарий и формируют дополнительный потенциал выручки.</w:t>
            </w:r>
          </w:p>
        </w:tc>
      </w:tr>
    </w:tbl>
    <w:p/>
    <w:p>
      <w:pPr>
        <w:pStyle w:val="Heading1"/>
        <w:spacing w:before="240" w:after="120"/>
      </w:pPr>
      <w:r>
        <w:t>4. Целевая аудитория и спрос</w:t>
      </w:r>
    </w:p>
    <w:p>
      <w:pPr>
        <w:pStyle w:val="ListBullet"/>
      </w:pPr>
      <w:r>
        <w:t>Владельцы собак и кошек, которым нужна плановая вакцинация.</w:t>
      </w:r>
    </w:p>
    <w:p>
      <w:pPr>
        <w:pStyle w:val="ListBullet"/>
      </w:pPr>
      <w:r>
        <w:t>Семьи, для которых поездка в клинику неудобна по времени или логистике.</w:t>
      </w:r>
    </w:p>
    <w:p>
      <w:pPr>
        <w:pStyle w:val="ListBullet"/>
      </w:pPr>
      <w:r>
        <w:t>Владельцы тревожных, пожилых или маломобильных животных.</w:t>
      </w:r>
    </w:p>
    <w:p>
      <w:pPr>
        <w:pStyle w:val="ListBullet"/>
      </w:pPr>
      <w:r>
        <w:t>Клиенты, предпочитающие комплекс профилактических процедур за один визит.</w:t>
      </w:r>
    </w:p>
    <w:p>
      <w:pPr>
        <w:pStyle w:val="ListBullet"/>
      </w:pPr>
      <w:r>
        <w:t>Повторные клиенты с ежегодным и сезонным циклом обслуживания.</w:t>
      </w:r>
    </w:p>
    <w:p>
      <w:r>
        <w:t>Спрос поддерживается повторяемостью вакцинации и профилактики. Сервис не зависит только от дорогих разовых процедур: базовая экономика строится на доступных услугах и плотности районных маршрутов.</w:t>
      </w:r>
    </w:p>
    <w:p>
      <w:pPr>
        <w:pStyle w:val="Heading1"/>
        <w:spacing w:before="240" w:after="120"/>
      </w:pPr>
      <w:r>
        <w:t>5. Бизнес-модель и юнит-экономика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Статья на один заказ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Сумма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Доля от чека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Средний чек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2 850 ₽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100,0%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Выплата врачу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800 ₽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28,1%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Материалы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350 ₽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12,3%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Привлечение клиента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200 ₽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7,0%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Эквайринг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57 ₽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2,0%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Налог 6%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171 ₽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6,0%</w:t>
            </w:r>
          </w:p>
        </w:tc>
      </w:tr>
      <w:tr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Маржа после переменных расходов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1 272 ₽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44,6%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E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b/>
                <w:color w:val="166534"/>
                <w:sz w:val="22"/>
              </w:rPr>
              <w:t>Логика масштабирования</w:t>
              <w:br/>
            </w:r>
            <w:r>
              <w:rPr>
                <w:color w:val="061009"/>
                <w:sz w:val="21"/>
              </w:rPr>
              <w:t>Каждый выполненный заказ приносит 1 272 ₽ маржи после переменных расходов. Рост прибыли обеспечивается количеством заказов, плотностью маршрутов, повторными продажами и сохранением дисциплины постоянных расходов.</w:t>
            </w:r>
          </w:p>
        </w:tc>
      </w:tr>
    </w:tbl>
    <w:p/>
    <w:p>
      <w:pPr>
        <w:pStyle w:val="Heading1"/>
        <w:spacing w:before="240" w:after="120"/>
      </w:pPr>
      <w:r>
        <w:t>6. География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Город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Заказы в месяце 5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Доля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Москва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1 350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51,9%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Масштаб и высокий потенциал чека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Казань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730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28,1%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Компактная логистика и рекомендации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Хабаровск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520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20,0%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Локальная узнаваемость и более низкая конкуренция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Итого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2 600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100%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Единая CRM и операционная система</w:t>
            </w:r>
          </w:p>
        </w:tc>
      </w:tr>
    </w:tbl>
    <w:p/>
    <w:p>
      <w:r>
        <w:t>Города развиваются в рамках единой системы стандартов, но с разными коммерческими ролями. Москва обеспечивает основной объём, Казань — эффективную компактную логистику, Хабаровск — локальный рыночный потенциал при более низкой конкуренции.</w:t>
      </w:r>
    </w:p>
    <w:p>
      <w:pPr>
        <w:pStyle w:val="Heading1"/>
        <w:spacing w:before="240" w:after="120"/>
      </w:pPr>
      <w:r>
        <w:t>7. План роста на пять месяцев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Заказы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Оборот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Операционная цель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Месяц 1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500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1,35 млн ₽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Запуск, проверка каналов и маршрутов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Месяц 2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950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2,61 млн ₽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Выход на положительный операционный поток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Месяц 3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1 500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4,20 млн ₽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Укрепление повторных продаж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Месяц 4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2 100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5,99 млн ₽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Увеличение плотности расписания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Месяц 5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2 600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7,41 млн ₽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2,11 млн ₽ чистой прибыли</w:t>
            </w:r>
          </w:p>
        </w:tc>
      </w:tr>
    </w:tbl>
    <w:p/>
    <w:p>
      <w:pPr>
        <w:pStyle w:val="ListBullet"/>
      </w:pPr>
      <w:r>
        <w:t>Рост строится без резкого скачка: 500 → 950 → 1 500 → 2 100 → 2 600 заказов.</w:t>
      </w:r>
    </w:p>
    <w:p>
      <w:pPr>
        <w:pStyle w:val="ListBullet"/>
      </w:pPr>
      <w:r>
        <w:t>К пятому месяцу целевая загрузка составляет около 4,8–5 заказов на врача за смену.</w:t>
      </w:r>
    </w:p>
    <w:p>
      <w:pPr>
        <w:pStyle w:val="ListBullet"/>
      </w:pPr>
      <w:r>
        <w:t>Маршруты группируются по районам, чтобы сократить время между вызовами.</w:t>
      </w:r>
    </w:p>
    <w:p>
      <w:pPr>
        <w:pStyle w:val="ListBullet"/>
      </w:pPr>
      <w:r>
        <w:t>Плановые показатели должны контролироваться еженедельно по городам и каналам.</w:t>
      </w:r>
    </w:p>
    <w:p>
      <w:pPr>
        <w:pStyle w:val="Heading1"/>
        <w:spacing w:before="240" w:after="120"/>
      </w:pPr>
      <w:r>
        <w:t>8. Финансовый результат пятого месяца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Оборот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7 410 000 ₽</w:t>
            </w:r>
          </w:p>
        </w:tc>
      </w:tr>
      <w:tr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Переменные расходы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4 102 800 ₽</w:t>
            </w:r>
          </w:p>
        </w:tc>
      </w:tr>
      <w:tr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Маржа после переменных расходов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3 307 200 ₽ ≈ 3,31 млн ₽</w:t>
            </w:r>
          </w:p>
        </w:tc>
      </w:tr>
      <w:tr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Постоянные расходы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1 200 000 ₽</w:t>
            </w:r>
          </w:p>
        </w:tc>
      </w:tr>
      <w:tr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Чистая прибыль после расходов и налога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2 107 200 ₽ ≈ 2,11 млн ₽</w:t>
            </w:r>
          </w:p>
        </w:tc>
      </w:tr>
      <w:tr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Накопленный результат за 5 месяцев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4 880 000 ₽</w:t>
            </w:r>
          </w:p>
        </w:tc>
      </w:tr>
    </w:tbl>
    <w:p/>
    <w:p>
      <w:r>
        <w:t>Переменные расходы рассчитаны как разница между средним чеком 2 850 ₽ и маржой 1 272 ₽, умноженная на 2 600 заказов. Все показатели приведены в консервативной модели и округлены в презентационных итогах.</w:t>
      </w:r>
    </w:p>
    <w:p>
      <w:pPr>
        <w:pStyle w:val="Heading1"/>
        <w:spacing w:before="240" w:after="120"/>
      </w:pPr>
      <w:r>
        <w:t>9. Маркетинг и каналы привлечения</w:t>
      </w:r>
    </w:p>
    <w:p>
      <w:r>
        <w:t>К пятому месяцу зависимость от платной рекламы должна снижаться. Целевой ориентир — 60–65% обращений из повторных продаж, рекомендаций, партнёрств и органического спроса.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Целевая доля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Практические действия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Повторные клиенты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30%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Напоминания о вакцинации, профилактике и контрольных визитах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Рекомендации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15%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Реферальные предложения и понятный сервис после визита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Партнёры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15%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Зоомагазины, груминг, питомники, приюты и жилые комплексы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Органический спрос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5%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Карты, локальный поиск, отзывы и контент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Платная реклама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35%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Районные кампании с контролем стоимости заказа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E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b/>
                <w:color w:val="166534"/>
                <w:sz w:val="22"/>
              </w:rPr>
              <w:t>Маркетинговый принцип</w:t>
              <w:br/>
            </w:r>
            <w:r>
              <w:rPr>
                <w:color w:val="061009"/>
                <w:sz w:val="21"/>
              </w:rPr>
              <w:t>Платная реклама используется для ускорения запуска, но устойчивость модели обеспечивают база клиентов, повторные процедуры, рекомендации и районные партнёрства.</w:t>
            </w:r>
          </w:p>
        </w:tc>
      </w:tr>
    </w:tbl>
    <w:p/>
    <w:p>
      <w:pPr>
        <w:pStyle w:val="Heading1"/>
        <w:spacing w:before="240" w:after="120"/>
      </w:pPr>
      <w:r>
        <w:t>10. Операционная модель</w:t>
      </w:r>
    </w:p>
    <w:p>
      <w:pPr>
        <w:pStyle w:val="ListBullet"/>
      </w:pPr>
      <w:r>
        <w:t>Единая CRM для заказов, клиентов, врачей, услуг, городов и финансов.</w:t>
      </w:r>
    </w:p>
    <w:p>
      <w:pPr>
        <w:pStyle w:val="ListBullet"/>
      </w:pPr>
      <w:r>
        <w:t>Распределение заказов с учётом района, компетенции врача и временного окна.</w:t>
      </w:r>
    </w:p>
    <w:p>
      <w:pPr>
        <w:pStyle w:val="ListBullet"/>
      </w:pPr>
      <w:r>
        <w:t>Планирование 4,8–5 заказов на врача за смену при достаточной плотности спроса.</w:t>
      </w:r>
    </w:p>
    <w:p>
      <w:pPr>
        <w:pStyle w:val="ListBullet"/>
      </w:pPr>
      <w:r>
        <w:t>Контроль среднего чека, стоимости привлечения, отмен, повторных заказов и загрузки.</w:t>
      </w:r>
    </w:p>
    <w:p>
      <w:pPr>
        <w:pStyle w:val="ListBullet"/>
      </w:pPr>
      <w:r>
        <w:t>Стандарты качества: подтверждение записи, информирование клиента, протокол визита, рекомендации и последующая связь.</w:t>
      </w:r>
    </w:p>
    <w:p>
      <w:pPr>
        <w:pStyle w:val="ListBullet"/>
      </w:pPr>
      <w:r>
        <w:t>Финансовая сверка выплат врачу, материалов, налогов, эквайринга и маржи платформы.</w:t>
      </w:r>
    </w:p>
    <w:p>
      <w:pPr>
        <w:pStyle w:val="Heading1"/>
        <w:spacing w:before="240" w:after="120"/>
      </w:pPr>
      <w:r>
        <w:t>11. План использования инвестиций</w:t>
      </w:r>
    </w:p>
    <w:p>
      <w:r>
        <w:t>Объём инвестиционной модели — 3 650 000 ₽. Точное распределение бюджета утверждается после фиксации фактических ставок команды и стоимости привлечения по каждому городу. Рекомендуемая структура управления средствами: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Маркетинговый запуск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Формирование первичного спроса по районам и городам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Операционная команда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Диспетчеризация, контроль качества и управление расписанием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Врачи и адаптация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Подбор, проверка документов, стандарты и ввод в систему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Материалы и логистика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Стартовый запас расходных материалов и маршрутные расходы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CRM и аналитика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Автоматизация заказов, финансов и повторных продаж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Резерв оборотного капитала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Покрытие разрыва на этапе выхода на положительный поток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E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b/>
                <w:color w:val="166534"/>
                <w:sz w:val="22"/>
              </w:rPr>
              <w:t>Финансовая дисциплина</w:t>
              <w:br/>
            </w:r>
            <w:r>
              <w:rPr>
                <w:color w:val="061009"/>
                <w:sz w:val="21"/>
              </w:rPr>
              <w:t>Детальная смета распределения 3,65 млн ₽ должна утверждаться отдельным бюджетом. В этом документе не вводятся неподтверждённые суммы по статьям, чтобы сохранить достоверность общей модели.</w:t>
            </w:r>
          </w:p>
        </w:tc>
      </w:tr>
    </w:tbl>
    <w:p/>
    <w:p>
      <w:pPr>
        <w:pStyle w:val="Heading1"/>
        <w:spacing w:before="240" w:after="120"/>
      </w:pPr>
      <w:r>
        <w:t>12. Ключевые показатели управления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Показатели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Продажи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Заказы, конверсия, средний чек, доля дополнительных услуг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Маркетинг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Стоимость заказа, доля органики, рекомендации, повторные обращения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Операции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Заказы на врача за смену, время в пути, отмены, опоздания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Качество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Оценка визита, жалобы, повторный заказ, медицинские инциденты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Финансы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Маржа заказа, постоянные расходы, чистая прибыль, денежный остаток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Города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План-факт заказов, загрузка врачей и экономика по каждому городу</w:t>
            </w:r>
          </w:p>
        </w:tc>
      </w:tr>
    </w:tbl>
    <w:p/>
    <w:p>
      <w:pPr>
        <w:pStyle w:val="Heading1"/>
        <w:spacing w:before="240" w:after="120"/>
      </w:pPr>
      <w:r>
        <w:t>13. Основные риски и меры контроля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Мера контроля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Недостаточная плотность заказов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Районные рекламные кампании, временные окна и группировка маршрутов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Высокая стоимость привлечения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Рост повторных продаж, партнёрств, рекомендаций и локальной органики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Дефицит квалифицированных врачей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Плановый резерв исполнителей, проверка документов и стандартизация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Неравномерное качество услуги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Чек-листы визита, рейтинг, обратная связь и разбор жалоб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Рост расходов на материалы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Контроль норм расхода, закупочные условия и актуализация цен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Сезонность спроса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Расширение профилактического каталога и плановые напоминания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Кассовый разрыв на старте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Оборотный резерв, недельный платёжный календарь и лимиты расходов</w:t>
            </w:r>
          </w:p>
        </w:tc>
      </w:tr>
    </w:tbl>
    <w:p/>
    <w:p>
      <w:pPr>
        <w:pStyle w:val="Heading1"/>
        <w:spacing w:before="240" w:after="120"/>
      </w:pPr>
      <w:r>
        <w:t>14. Дорожная карта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Главная задача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6534"/>
          </w:tcPr>
          <w:p>
            <w:r/>
            <w:r>
              <w:rPr>
                <w:rFonts w:ascii="Manrope" w:hAnsi="Manrope"/>
                <w:b/>
                <w:color w:val="FFFFFF"/>
                <w:sz w:val="18"/>
              </w:rPr>
              <w:t>Контрольный результат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Месяц 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Запуск трёх городов и проверка воронки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500 заказов; оборот 1,35 млн ₽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Месяц 2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Оптимизация маршрутов и загрузки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950 заказов; положительный поток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Месяц 3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Развитие повторных продаж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1 500 заказов; оборот 4,20 млн ₽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Месяц 4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Масштабирование рабочих каналов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4"/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2 100 заказов; оборот 5,99 млн ₽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Месяц 5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Закрепление устойчивой экономики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Manrope" w:hAnsi="Manrope"/>
                <w:b w:val="0"/>
                <w:color w:val="061009"/>
                <w:sz w:val="18"/>
              </w:rPr>
              <w:t>2 600 заказов; 2,11 млн ₽ чистыми</w:t>
            </w:r>
          </w:p>
        </w:tc>
      </w:tr>
    </w:tbl>
    <w:p/>
    <w:p>
      <w:pPr>
        <w:pStyle w:val="Heading1"/>
        <w:spacing w:before="240" w:after="120"/>
      </w:pPr>
      <w:r>
        <w:t>15. Инвестиционный вывод</w:t>
      </w:r>
    </w:p>
    <w:p>
      <w:r>
        <w:t>Проект сочетает массовый повторяемый спрос, доступный для клиента базовый чек и модель без капиталоёмкого строительства клиник. Экономика опирается на маржу 1 272 ₽ с заказа, районную логистику и снижение доли платного привлечения по мере роста клиентской базы.</w:t>
      </w:r>
    </w:p>
    <w:p>
      <w:pPr>
        <w:pStyle w:val="ListBullet"/>
      </w:pPr>
      <w:r>
        <w:t>Положительный операционный поток — со второго месяца.</w:t>
      </w:r>
    </w:p>
    <w:p>
      <w:pPr>
        <w:pStyle w:val="ListBullet"/>
      </w:pPr>
      <w:r>
        <w:t>2 600 заказов и оборот 7,41 млн ₽ — в пятом месяце.</w:t>
      </w:r>
    </w:p>
    <w:p>
      <w:pPr>
        <w:pStyle w:val="ListBullet"/>
      </w:pPr>
      <w:r>
        <w:t>Более 2 млн ₽ чистой прибыли после расходов и налога — целевой результат месяца 5.</w:t>
      </w:r>
    </w:p>
    <w:p>
      <w:pPr>
        <w:pStyle w:val="ListBullet"/>
      </w:pPr>
      <w:r>
        <w:t>Накопленный результат 4,88 млн ₽ позволяет планировать возврат 3,65 млн ₽ вложений в пятом месяце.</w:t>
      </w:r>
    </w:p>
    <w:p>
      <w:pPr>
        <w:pStyle w:val="ListBullet"/>
      </w:pPr>
      <w:r>
        <w:t>Дорогие процедуры не нужны для выполнения базового прогноза и остаются резервом роста.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E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/>
            <w:r>
              <w:rPr>
                <w:b/>
                <w:color w:val="166534"/>
                <w:sz w:val="22"/>
              </w:rPr>
              <w:t>Итог</w:t>
              <w:br/>
            </w:r>
            <w:r>
              <w:rPr>
                <w:color w:val="061009"/>
                <w:sz w:val="21"/>
              </w:rPr>
              <w:t>«Ветеринар на дом» предлагает понятный путь от запуска к устойчивой, управляемой и масштабируемой сети в трёх городах.</w:t>
            </w:r>
          </w:p>
        </w:tc>
      </w:tr>
    </w:tbl>
    <w:p/>
    <w:p>
      <w:pPr>
        <w:pStyle w:val="Heading1"/>
        <w:spacing w:before="240" w:after="120"/>
      </w:pPr>
      <w:r>
        <w:t>Приложение. Допущения модели</w:t>
      </w:r>
    </w:p>
    <w:p>
      <w:pPr>
        <w:pStyle w:val="ListBullet"/>
      </w:pPr>
      <w:r>
        <w:t>Все суммы указаны в рублях и округлены для управленческого представления.</w:t>
      </w:r>
    </w:p>
    <w:p>
      <w:pPr>
        <w:pStyle w:val="ListBullet"/>
      </w:pPr>
      <w:r>
        <w:t>Налог рассчитан по ставке 6% от выручки в составе переменных расходов заказа.</w:t>
      </w:r>
    </w:p>
    <w:p>
      <w:pPr>
        <w:pStyle w:val="ListBullet"/>
      </w:pPr>
      <w:r>
        <w:t>Средний чек 2 850 ₽ используется как консервативный ориентир.</w:t>
      </w:r>
    </w:p>
    <w:p>
      <w:pPr>
        <w:pStyle w:val="ListBullet"/>
      </w:pPr>
      <w:r>
        <w:t>Пятый месяц рассчитан на 2 600 выполненных заказов.</w:t>
      </w:r>
    </w:p>
    <w:p>
      <w:pPr>
        <w:pStyle w:val="ListBullet"/>
      </w:pPr>
      <w:r>
        <w:t>Постоянные расходы пятого месяца приняты на уровне 1,20 млн ₽.</w:t>
      </w:r>
    </w:p>
    <w:p>
      <w:pPr>
        <w:pStyle w:val="ListBullet"/>
      </w:pPr>
      <w:r>
        <w:t>Результат зависит от выполнения плана продаж, плотности маршрутов и контроля стоимости привлечения.</w:t>
      </w:r>
    </w:p>
    <w:p>
      <w:pPr>
        <w:pStyle w:val="ListBullet"/>
      </w:pPr>
      <w:r>
        <w:t>Перед инвестиционным решением модель рекомендуется дополнить детальным бюджетом движения денежных средств, юридической структурой и подтверждёнными договорами с врачами и поставщиками.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36A"/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66534"/>
      </w:rPr>
      <w:t>ВЕТЕРИНАР НА ДОМ  ·  ИНВЕСТИЦИОННАЯ МОДЕЛЬ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anrope" w:hAnsi="Manrope"/>
      <w:color w:val="06100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nrope" w:hAnsi="Manrope"/>
      <w:b/>
      <w:bCs/>
      <w:color w:val="16653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nrope" w:hAnsi="Manrope"/>
      <w:b/>
      <w:bCs/>
      <w:color w:val="22C5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nrope" w:hAnsi="Manrope"/>
      <w:b/>
      <w:bCs/>
      <w:color w:val="1665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nrope" w:hAnsi="Manrope"/>
      <w:b/>
      <w:color w:val="1665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ric">
    <w:name w:val="Metric"/>
    <w:rPr>
      <w:rFonts w:ascii="Space Mono" w:hAnsi="Space Mono"/>
      <w:b/>
      <w:color w:val="22C55E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jpe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Ветеринар на дом — бизнес-план и инвестиционная модель</dc:title>
  <dc:subject>План развития сервиса выездной ветеринарной помощи на пять месяцев</dc:subject>
  <dc:creator>Ветеринар на дом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