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99960" w14:textId="77777777" w:rsidR="00411EAE" w:rsidRPr="00411EAE" w:rsidRDefault="00411EAE" w:rsidP="00411EAE">
      <w:pPr>
        <w:rPr>
          <w:b/>
          <w:bCs/>
          <w:lang w:val="en-GB"/>
        </w:rPr>
      </w:pPr>
      <w:r w:rsidRPr="00411EAE">
        <w:rPr>
          <w:lang w:val="en-GB"/>
        </w:rPr>
        <w:t>5.1 Temporal Data Quality Metrics</w:t>
      </w:r>
    </w:p>
    <w:p w14:paraId="1C1DB7DE" w14:textId="77777777" w:rsidR="00411EAE" w:rsidRPr="00411EAE" w:rsidRDefault="00411EAE" w:rsidP="00411EAE">
      <w:pPr>
        <w:rPr>
          <w:lang w:val="en-GB"/>
        </w:rPr>
      </w:pPr>
      <w:r w:rsidRPr="00411EAE">
        <w:rPr>
          <w:lang w:val="en-GB"/>
        </w:rPr>
        <w:t>Beyond standard completeness checks (e.g., missing values), this project implements advanced temporal metrics to investigate the structure of the information flow. Since financial markets are dynamic, data quality is not just about </w:t>
      </w:r>
      <w:r w:rsidRPr="00411EAE">
        <w:rPr>
          <w:i/>
          <w:iCs/>
          <w:lang w:val="en-GB"/>
        </w:rPr>
        <w:t>existence</w:t>
      </w:r>
      <w:r w:rsidRPr="00411EAE">
        <w:rPr>
          <w:lang w:val="en-GB"/>
        </w:rPr>
        <w:t> but about </w:t>
      </w:r>
      <w:r w:rsidRPr="00411EAE">
        <w:rPr>
          <w:i/>
          <w:iCs/>
          <w:lang w:val="en-GB"/>
        </w:rPr>
        <w:t>timing</w:t>
      </w:r>
      <w:r w:rsidRPr="00411EAE">
        <w:rPr>
          <w:lang w:val="en-GB"/>
        </w:rPr>
        <w:t> and </w:t>
      </w:r>
      <w:r w:rsidRPr="00411EAE">
        <w:rPr>
          <w:i/>
          <w:iCs/>
          <w:lang w:val="en-GB"/>
        </w:rPr>
        <w:t>persistence</w:t>
      </w:r>
      <w:r w:rsidRPr="00411EAE">
        <w:rPr>
          <w:lang w:val="en-GB"/>
        </w:rPr>
        <w:t>.</w:t>
      </w:r>
    </w:p>
    <w:p w14:paraId="3B2377C5" w14:textId="77777777" w:rsidR="00411EAE" w:rsidRPr="00411EAE" w:rsidRDefault="00411EAE" w:rsidP="00411EAE">
      <w:r w:rsidRPr="00411EAE">
        <w:t xml:space="preserve">1. </w:t>
      </w:r>
      <w:proofErr w:type="spellStart"/>
      <w:r w:rsidRPr="00411EAE">
        <w:t>Temporal</w:t>
      </w:r>
      <w:proofErr w:type="spellEnd"/>
      <w:r w:rsidRPr="00411EAE">
        <w:t xml:space="preserve"> Coverage </w:t>
      </w:r>
      <w:proofErr w:type="spellStart"/>
      <w:r w:rsidRPr="00411EAE">
        <w:t>Continuity</w:t>
      </w:r>
      <w:proofErr w:type="spellEnd"/>
    </w:p>
    <w:p w14:paraId="5AB69C47" w14:textId="77777777" w:rsidR="00411EAE" w:rsidRPr="00411EAE" w:rsidRDefault="00411EAE" w:rsidP="00411EAE">
      <w:pPr>
        <w:numPr>
          <w:ilvl w:val="0"/>
          <w:numId w:val="1"/>
        </w:numPr>
        <w:rPr>
          <w:lang w:val="en-GB"/>
        </w:rPr>
      </w:pPr>
      <w:r w:rsidRPr="00411EAE">
        <w:rPr>
          <w:lang w:val="en-GB"/>
        </w:rPr>
        <w:t xml:space="preserve">Definition: Measures the persistence of media coverage by </w:t>
      </w:r>
      <w:proofErr w:type="spellStart"/>
      <w:r w:rsidRPr="00411EAE">
        <w:rPr>
          <w:lang w:val="en-GB"/>
        </w:rPr>
        <w:t>analyzing</w:t>
      </w:r>
      <w:proofErr w:type="spellEnd"/>
      <w:r w:rsidRPr="00411EAE">
        <w:rPr>
          <w:lang w:val="en-GB"/>
        </w:rPr>
        <w:t xml:space="preserve"> the continuity of days with at least one relevant article. It calculates the </w:t>
      </w:r>
      <w:r w:rsidRPr="00411EAE">
        <w:rPr>
          <w:i/>
          <w:iCs/>
          <w:lang w:val="en-GB"/>
        </w:rPr>
        <w:t>Coverage Ratio</w:t>
      </w:r>
      <w:r w:rsidRPr="00411EAE">
        <w:rPr>
          <w:lang w:val="en-GB"/>
        </w:rPr>
        <w:t> (percentage of days with news) and the </w:t>
      </w:r>
      <w:r w:rsidRPr="00411EAE">
        <w:rPr>
          <w:i/>
          <w:iCs/>
          <w:lang w:val="en-GB"/>
        </w:rPr>
        <w:t>Average Streak Length</w:t>
      </w:r>
      <w:r w:rsidRPr="00411EAE">
        <w:rPr>
          <w:lang w:val="en-GB"/>
        </w:rPr>
        <w:t> (average duration of consecutive news days).</w:t>
      </w:r>
    </w:p>
    <w:p w14:paraId="2A963639" w14:textId="77777777" w:rsidR="00411EAE" w:rsidRPr="00411EAE" w:rsidRDefault="00411EAE" w:rsidP="00411EAE">
      <w:pPr>
        <w:numPr>
          <w:ilvl w:val="0"/>
          <w:numId w:val="1"/>
        </w:numPr>
        <w:rPr>
          <w:lang w:val="en-GB"/>
        </w:rPr>
      </w:pPr>
      <w:r w:rsidRPr="00411EAE">
        <w:rPr>
          <w:lang w:val="en-GB"/>
        </w:rPr>
        <w:t>Result: The dataset exhibits a Coverage Ratio of 56.24% and an Average Streak of 3.26 days.</w:t>
      </w:r>
    </w:p>
    <w:p w14:paraId="5FAAE7CC" w14:textId="77777777" w:rsidR="00411EAE" w:rsidRPr="00411EAE" w:rsidRDefault="00411EAE" w:rsidP="00411EAE">
      <w:pPr>
        <w:numPr>
          <w:ilvl w:val="0"/>
          <w:numId w:val="1"/>
        </w:numPr>
        <w:rPr>
          <w:lang w:val="en-GB"/>
        </w:rPr>
      </w:pPr>
      <w:r w:rsidRPr="00411EAE">
        <w:rPr>
          <w:lang w:val="en-GB"/>
        </w:rPr>
        <w:t>Insight: Media attention towards cryptocurrencies is not continuous but episodic. The short streak duration (approx. 3 days) suggests that the "news cycle" for crypto events is rapid: attention spikes during an event and quickly fades. This implies that downstream models must handle significant periods of "information silence."</w:t>
      </w:r>
    </w:p>
    <w:p w14:paraId="3A8B54B4" w14:textId="77777777" w:rsidR="00411EAE" w:rsidRPr="00411EAE" w:rsidRDefault="00411EAE" w:rsidP="00411EAE">
      <w:pPr>
        <w:rPr>
          <w:lang w:val="en-GB"/>
        </w:rPr>
      </w:pPr>
      <w:r w:rsidRPr="00411EAE">
        <w:rPr>
          <w:lang w:val="en-GB"/>
        </w:rPr>
        <w:t>2. News Burstiness (Index of Dispersion)</w:t>
      </w:r>
    </w:p>
    <w:p w14:paraId="0E3D3DD5" w14:textId="77777777" w:rsidR="00411EAE" w:rsidRPr="00411EAE" w:rsidRDefault="00411EAE" w:rsidP="00411EAE">
      <w:pPr>
        <w:numPr>
          <w:ilvl w:val="0"/>
          <w:numId w:val="2"/>
        </w:numPr>
      </w:pPr>
      <w:r w:rsidRPr="00411EAE">
        <w:rPr>
          <w:lang w:val="en-GB"/>
        </w:rPr>
        <w:t xml:space="preserve">Definition: Quantifies whether news arrives in a regular flow (Poisson process) or in concentrated clusters (Bursty process). </w:t>
      </w:r>
      <w:proofErr w:type="spellStart"/>
      <w:r w:rsidRPr="00411EAE">
        <w:t>It</w:t>
      </w:r>
      <w:proofErr w:type="spellEnd"/>
      <w:r w:rsidRPr="00411EAE">
        <w:t xml:space="preserve"> </w:t>
      </w:r>
      <w:proofErr w:type="spellStart"/>
      <w:r w:rsidRPr="00411EAE">
        <w:t>is</w:t>
      </w:r>
      <w:proofErr w:type="spellEnd"/>
      <w:r w:rsidRPr="00411EAE">
        <w:t xml:space="preserve"> </w:t>
      </w:r>
      <w:proofErr w:type="spellStart"/>
      <w:r w:rsidRPr="00411EAE">
        <w:t>calculated</w:t>
      </w:r>
      <w:proofErr w:type="spellEnd"/>
      <w:r w:rsidRPr="00411EAE">
        <w:t xml:space="preserve"> </w:t>
      </w:r>
      <w:proofErr w:type="spellStart"/>
      <w:r w:rsidRPr="00411EAE">
        <w:t>using</w:t>
      </w:r>
      <w:proofErr w:type="spellEnd"/>
      <w:r w:rsidRPr="00411EAE">
        <w:t xml:space="preserve"> the </w:t>
      </w:r>
      <w:r w:rsidRPr="00411EAE">
        <w:rPr>
          <w:i/>
          <w:iCs/>
        </w:rPr>
        <w:t xml:space="preserve">Fano </w:t>
      </w:r>
      <w:proofErr w:type="spellStart"/>
      <w:r w:rsidRPr="00411EAE">
        <w:rPr>
          <w:i/>
          <w:iCs/>
        </w:rPr>
        <w:t>Factor</w:t>
      </w:r>
      <w:proofErr w:type="spellEnd"/>
      <w:r w:rsidRPr="00411EAE">
        <w:t> (</w:t>
      </w:r>
      <w:proofErr w:type="spellStart"/>
      <w:r w:rsidRPr="00411EAE">
        <w:t>Variance</w:t>
      </w:r>
      <w:proofErr w:type="spellEnd"/>
      <w:r w:rsidRPr="00411EAE">
        <w:t xml:space="preserve"> / Mean).</w:t>
      </w:r>
    </w:p>
    <w:p w14:paraId="5E79CFF2" w14:textId="77777777" w:rsidR="00411EAE" w:rsidRPr="00411EAE" w:rsidRDefault="00411EAE" w:rsidP="00411EAE">
      <w:pPr>
        <w:numPr>
          <w:ilvl w:val="1"/>
          <w:numId w:val="2"/>
        </w:numPr>
        <w:rPr>
          <w:lang w:val="en-GB"/>
        </w:rPr>
      </w:pPr>
      <w:r w:rsidRPr="00411EAE">
        <w:rPr>
          <w:i/>
          <w:iCs/>
          <w:lang w:val="en-GB"/>
        </w:rPr>
        <w:t>Index $\</w:t>
      </w:r>
      <w:proofErr w:type="spellStart"/>
      <w:r w:rsidRPr="00411EAE">
        <w:rPr>
          <w:i/>
          <w:iCs/>
          <w:lang w:val="en-GB"/>
        </w:rPr>
        <w:t>approx</w:t>
      </w:r>
      <w:proofErr w:type="spellEnd"/>
      <w:r w:rsidRPr="00411EAE">
        <w:rPr>
          <w:i/>
          <w:iCs/>
          <w:lang w:val="en-GB"/>
        </w:rPr>
        <w:t>$ 1:</w:t>
      </w:r>
      <w:r w:rsidRPr="00411EAE">
        <w:rPr>
          <w:lang w:val="en-GB"/>
        </w:rPr>
        <w:t> Random/Regular flow.</w:t>
      </w:r>
    </w:p>
    <w:p w14:paraId="022B6044" w14:textId="77777777" w:rsidR="00411EAE" w:rsidRPr="00411EAE" w:rsidRDefault="00411EAE" w:rsidP="00411EAE">
      <w:pPr>
        <w:numPr>
          <w:ilvl w:val="1"/>
          <w:numId w:val="2"/>
        </w:numPr>
      </w:pPr>
      <w:r w:rsidRPr="00411EAE">
        <w:rPr>
          <w:i/>
          <w:iCs/>
        </w:rPr>
        <w:t>Index $&gt; 1$:</w:t>
      </w:r>
      <w:r w:rsidRPr="00411EAE">
        <w:t> </w:t>
      </w:r>
      <w:proofErr w:type="spellStart"/>
      <w:r w:rsidRPr="00411EAE">
        <w:t>Clustered</w:t>
      </w:r>
      <w:proofErr w:type="spellEnd"/>
      <w:r w:rsidRPr="00411EAE">
        <w:t>/</w:t>
      </w:r>
      <w:proofErr w:type="spellStart"/>
      <w:r w:rsidRPr="00411EAE">
        <w:t>Bursty</w:t>
      </w:r>
      <w:proofErr w:type="spellEnd"/>
      <w:r w:rsidRPr="00411EAE">
        <w:t xml:space="preserve"> flow.</w:t>
      </w:r>
    </w:p>
    <w:p w14:paraId="5518D304" w14:textId="77777777" w:rsidR="00411EAE" w:rsidRPr="00411EAE" w:rsidRDefault="00411EAE" w:rsidP="00411EAE">
      <w:pPr>
        <w:numPr>
          <w:ilvl w:val="0"/>
          <w:numId w:val="2"/>
        </w:numPr>
        <w:rPr>
          <w:lang w:val="en-GB"/>
        </w:rPr>
      </w:pPr>
      <w:r w:rsidRPr="00411EAE">
        <w:rPr>
          <w:lang w:val="en-GB"/>
        </w:rPr>
        <w:t>Result: The calculated Burstiness Index is 2.33.</w:t>
      </w:r>
    </w:p>
    <w:p w14:paraId="346410C8" w14:textId="77777777" w:rsidR="00411EAE" w:rsidRPr="00411EAE" w:rsidRDefault="00411EAE" w:rsidP="00411EAE">
      <w:pPr>
        <w:numPr>
          <w:ilvl w:val="0"/>
          <w:numId w:val="2"/>
        </w:numPr>
        <w:rPr>
          <w:lang w:val="en-GB"/>
        </w:rPr>
      </w:pPr>
      <w:r w:rsidRPr="00411EAE">
        <w:rPr>
          <w:lang w:val="en-GB"/>
        </w:rPr>
        <w:t>Insight: The value significantly greater than 1 confirms that financial news follows a "bursty" distribution. Information does not trickle in linearly; it explodes in concentrated clusters triggered by exogenous shocks (e.g., regulatory announcements, market crashes). This validates the dataset's fidelity to real-world market dynamics.</w:t>
      </w:r>
    </w:p>
    <w:p w14:paraId="7DE48858" w14:textId="77777777" w:rsidR="00411EAE" w:rsidRPr="00411EAE" w:rsidRDefault="00411EAE" w:rsidP="00411EAE">
      <w:r w:rsidRPr="00411EAE">
        <w:t xml:space="preserve">3. Market-News </w:t>
      </w:r>
      <w:proofErr w:type="spellStart"/>
      <w:r w:rsidRPr="00411EAE">
        <w:t>Synchronization</w:t>
      </w:r>
      <w:proofErr w:type="spellEnd"/>
      <w:r w:rsidRPr="00411EAE">
        <w:t xml:space="preserve"> Score</w:t>
      </w:r>
    </w:p>
    <w:p w14:paraId="434F80F2" w14:textId="77777777" w:rsidR="00411EAE" w:rsidRPr="00411EAE" w:rsidRDefault="00411EAE" w:rsidP="00411EAE">
      <w:pPr>
        <w:numPr>
          <w:ilvl w:val="0"/>
          <w:numId w:val="3"/>
        </w:numPr>
        <w:rPr>
          <w:lang w:val="en-GB"/>
        </w:rPr>
      </w:pPr>
      <w:r w:rsidRPr="00411EAE">
        <w:rPr>
          <w:lang w:val="en-GB"/>
        </w:rPr>
        <w:t>Definition: Assesses the alignment between the information layer (news) and the market layer (price action). It calculates the overlap percentage between the </w:t>
      </w:r>
      <w:r w:rsidRPr="00411EAE">
        <w:rPr>
          <w:i/>
          <w:iCs/>
          <w:lang w:val="en-GB"/>
        </w:rPr>
        <w:t>Top-10% High Volume News Days</w:t>
      </w:r>
      <w:r w:rsidRPr="00411EAE">
        <w:rPr>
          <w:lang w:val="en-GB"/>
        </w:rPr>
        <w:t> and the </w:t>
      </w:r>
      <w:r w:rsidRPr="00411EAE">
        <w:rPr>
          <w:i/>
          <w:iCs/>
          <w:lang w:val="en-GB"/>
        </w:rPr>
        <w:t>Top-10% High Volatility Days</w:t>
      </w:r>
      <w:r w:rsidRPr="00411EAE">
        <w:rPr>
          <w:lang w:val="en-GB"/>
        </w:rPr>
        <w:t>.</w:t>
      </w:r>
    </w:p>
    <w:p w14:paraId="5C1289D2" w14:textId="77777777" w:rsidR="00411EAE" w:rsidRPr="00411EAE" w:rsidRDefault="00411EAE" w:rsidP="00411EAE">
      <w:pPr>
        <w:numPr>
          <w:ilvl w:val="0"/>
          <w:numId w:val="3"/>
        </w:numPr>
        <w:rPr>
          <w:lang w:val="en-GB"/>
        </w:rPr>
      </w:pPr>
      <w:r w:rsidRPr="00411EAE">
        <w:rPr>
          <w:lang w:val="en-GB"/>
        </w:rPr>
        <w:t>Result: The Synchronization Score is 17.59%.</w:t>
      </w:r>
    </w:p>
    <w:p w14:paraId="4E3E292F" w14:textId="77777777" w:rsidR="00411EAE" w:rsidRPr="00411EAE" w:rsidRDefault="00411EAE" w:rsidP="00411EAE">
      <w:pPr>
        <w:numPr>
          <w:ilvl w:val="0"/>
          <w:numId w:val="3"/>
        </w:numPr>
      </w:pPr>
      <w:r w:rsidRPr="00411EAE">
        <w:rPr>
          <w:lang w:val="en-GB"/>
        </w:rPr>
        <w:t xml:space="preserve">Insight: Only a fraction of "media storms" strictly coincides with "market storms" on the exact same day. </w:t>
      </w:r>
      <w:proofErr w:type="spellStart"/>
      <w:r w:rsidRPr="00411EAE">
        <w:t>This</w:t>
      </w:r>
      <w:proofErr w:type="spellEnd"/>
      <w:r w:rsidRPr="00411EAE">
        <w:t xml:space="preserve"> </w:t>
      </w:r>
      <w:proofErr w:type="spellStart"/>
      <w:r w:rsidRPr="00411EAE">
        <w:t>relatively</w:t>
      </w:r>
      <w:proofErr w:type="spellEnd"/>
      <w:r w:rsidRPr="00411EAE">
        <w:t xml:space="preserve"> low </w:t>
      </w:r>
      <w:proofErr w:type="spellStart"/>
      <w:r w:rsidRPr="00411EAE">
        <w:t>synchronization</w:t>
      </w:r>
      <w:proofErr w:type="spellEnd"/>
      <w:r w:rsidRPr="00411EAE">
        <w:t xml:space="preserve"> </w:t>
      </w:r>
      <w:proofErr w:type="spellStart"/>
      <w:r w:rsidRPr="00411EAE">
        <w:t>suggests</w:t>
      </w:r>
      <w:proofErr w:type="spellEnd"/>
      <w:r w:rsidRPr="00411EAE">
        <w:t xml:space="preserve"> </w:t>
      </w:r>
      <w:proofErr w:type="spellStart"/>
      <w:r w:rsidRPr="00411EAE">
        <w:t>two</w:t>
      </w:r>
      <w:proofErr w:type="spellEnd"/>
      <w:r w:rsidRPr="00411EAE">
        <w:t xml:space="preserve"> </w:t>
      </w:r>
      <w:proofErr w:type="spellStart"/>
      <w:r w:rsidRPr="00411EAE">
        <w:t>phenomena</w:t>
      </w:r>
      <w:proofErr w:type="spellEnd"/>
      <w:r w:rsidRPr="00411EAE">
        <w:t>:</w:t>
      </w:r>
    </w:p>
    <w:p w14:paraId="41BEDF7E" w14:textId="77777777" w:rsidR="00411EAE" w:rsidRPr="00411EAE" w:rsidRDefault="00411EAE" w:rsidP="00411EAE">
      <w:pPr>
        <w:numPr>
          <w:ilvl w:val="1"/>
          <w:numId w:val="3"/>
        </w:numPr>
        <w:rPr>
          <w:lang w:val="en-GB"/>
        </w:rPr>
      </w:pPr>
      <w:r w:rsidRPr="00411EAE">
        <w:rPr>
          <w:lang w:val="en-GB"/>
        </w:rPr>
        <w:t>Noise: A significant portion of media coverage is descriptive or speculative and does not drive price action.</w:t>
      </w:r>
    </w:p>
    <w:p w14:paraId="5290C26F" w14:textId="77777777" w:rsidR="00411EAE" w:rsidRPr="00411EAE" w:rsidRDefault="00411EAE" w:rsidP="00411EAE">
      <w:pPr>
        <w:numPr>
          <w:ilvl w:val="1"/>
          <w:numId w:val="3"/>
        </w:numPr>
        <w:rPr>
          <w:lang w:val="en-GB"/>
        </w:rPr>
      </w:pPr>
      <w:r w:rsidRPr="00411EAE">
        <w:rPr>
          <w:lang w:val="en-GB"/>
        </w:rPr>
        <w:t xml:space="preserve">Lag Effects: Market reaction may not be instantaneous (same-day), supporting the need for lagged features (t-1, t-2) in predictive </w:t>
      </w:r>
      <w:proofErr w:type="spellStart"/>
      <w:r w:rsidRPr="00411EAE">
        <w:rPr>
          <w:lang w:val="en-GB"/>
        </w:rPr>
        <w:t>modeling</w:t>
      </w:r>
      <w:proofErr w:type="spellEnd"/>
      <w:r w:rsidRPr="00411EAE">
        <w:rPr>
          <w:lang w:val="en-GB"/>
        </w:rPr>
        <w:t xml:space="preserve"> rather than relying solely on synchronous correlation.</w:t>
      </w:r>
    </w:p>
    <w:p w14:paraId="43500390" w14:textId="77777777" w:rsidR="00960687" w:rsidRDefault="00960687">
      <w:pPr>
        <w:rPr>
          <w:lang w:val="en-GB"/>
        </w:rPr>
      </w:pPr>
    </w:p>
    <w:p w14:paraId="677E0936" w14:textId="77777777" w:rsidR="002E333C" w:rsidRDefault="002E333C">
      <w:pPr>
        <w:rPr>
          <w:lang w:val="en-GB"/>
        </w:rPr>
      </w:pPr>
    </w:p>
    <w:p w14:paraId="331090BA" w14:textId="77777777" w:rsidR="002E333C" w:rsidRPr="002E333C" w:rsidRDefault="002E333C" w:rsidP="002E333C">
      <w:pPr>
        <w:rPr>
          <w:b/>
          <w:bCs/>
          <w:lang w:val="en-GB"/>
        </w:rPr>
      </w:pPr>
      <w:r w:rsidRPr="002E333C">
        <w:rPr>
          <w:lang w:val="en-GB"/>
        </w:rPr>
        <w:lastRenderedPageBreak/>
        <w:t>5.2 Advanced Content Metrics: Semantic Information Redundancy</w:t>
      </w:r>
    </w:p>
    <w:p w14:paraId="1D8CF9E7" w14:textId="77777777" w:rsidR="002E333C" w:rsidRPr="002E333C" w:rsidRDefault="002E333C" w:rsidP="002E333C">
      <w:pPr>
        <w:rPr>
          <w:lang w:val="en-GB"/>
        </w:rPr>
      </w:pPr>
      <w:r w:rsidRPr="002E333C">
        <w:rPr>
          <w:lang w:val="en-GB"/>
        </w:rPr>
        <w:t>While quantitative metrics measure the </w:t>
      </w:r>
      <w:r w:rsidRPr="002E333C">
        <w:rPr>
          <w:i/>
          <w:iCs/>
          <w:lang w:val="en-GB"/>
        </w:rPr>
        <w:t>volume</w:t>
      </w:r>
      <w:r w:rsidRPr="002E333C">
        <w:rPr>
          <w:lang w:val="en-GB"/>
        </w:rPr>
        <w:t> of information (e.g., article count), they fail to capture the </w:t>
      </w:r>
      <w:r w:rsidRPr="002E333C">
        <w:rPr>
          <w:i/>
          <w:iCs/>
          <w:lang w:val="en-GB"/>
        </w:rPr>
        <w:t>diversity</w:t>
      </w:r>
      <w:r w:rsidRPr="002E333C">
        <w:rPr>
          <w:lang w:val="en-GB"/>
        </w:rPr>
        <w:t> of the content. A high volume of articles does not necessarily imply high information gain if multiple sources report the exact same event using similar wording. To address this, we implemented a Semantic Redundancy Score.</w:t>
      </w:r>
    </w:p>
    <w:p w14:paraId="445BCD96" w14:textId="77777777" w:rsidR="002E333C" w:rsidRPr="002E333C" w:rsidRDefault="002E333C" w:rsidP="002E333C">
      <w:pPr>
        <w:rPr>
          <w:lang w:val="en-GB"/>
        </w:rPr>
      </w:pPr>
      <w:r w:rsidRPr="002E333C">
        <w:rPr>
          <w:lang w:val="en-GB"/>
        </w:rPr>
        <w:t>Methodology</w:t>
      </w:r>
      <w:r w:rsidRPr="002E333C">
        <w:rPr>
          <w:lang w:val="en-GB"/>
        </w:rPr>
        <w:br/>
        <w:t>For each daily bucket $d$ containing $N &gt; 1$ articles, we utilize a Vector Space Model approach:</w:t>
      </w:r>
    </w:p>
    <w:p w14:paraId="10EAD5F3" w14:textId="77777777" w:rsidR="002E333C" w:rsidRPr="002E333C" w:rsidRDefault="002E333C" w:rsidP="002E333C">
      <w:pPr>
        <w:numPr>
          <w:ilvl w:val="0"/>
          <w:numId w:val="4"/>
        </w:numPr>
        <w:rPr>
          <w:lang w:val="en-GB"/>
        </w:rPr>
      </w:pPr>
      <w:r w:rsidRPr="002E333C">
        <w:rPr>
          <w:lang w:val="en-GB"/>
        </w:rPr>
        <w:t>Vectorization: Article texts (Title + Abstract) are transformed into TF-IDF (Term Frequency-Inverse Document Frequency) vectors to capture semantic importance while filtering stopwords.</w:t>
      </w:r>
    </w:p>
    <w:p w14:paraId="1C1E98AE" w14:textId="77777777" w:rsidR="002E333C" w:rsidRPr="002E333C" w:rsidRDefault="002E333C" w:rsidP="002E333C">
      <w:pPr>
        <w:numPr>
          <w:ilvl w:val="0"/>
          <w:numId w:val="4"/>
        </w:numPr>
        <w:rPr>
          <w:lang w:val="en-GB"/>
        </w:rPr>
      </w:pPr>
      <w:r w:rsidRPr="002E333C">
        <w:rPr>
          <w:lang w:val="en-GB"/>
        </w:rPr>
        <w:t>Pairwise Comparison: We compute the Cosine Similarity matrix for all unique pairs of articles published on day $d$.</w:t>
      </w:r>
    </w:p>
    <w:p w14:paraId="5CD41709" w14:textId="43D910D3" w:rsidR="002E333C" w:rsidRPr="002E333C" w:rsidRDefault="002E333C" w:rsidP="002E333C">
      <w:pPr>
        <w:numPr>
          <w:ilvl w:val="0"/>
          <w:numId w:val="4"/>
        </w:numPr>
        <w:rPr>
          <w:lang w:val="en-GB"/>
        </w:rPr>
      </w:pPr>
      <w:r w:rsidRPr="002E333C">
        <w:rPr>
          <w:lang w:val="en-GB"/>
        </w:rPr>
        <w:t>Scoring: The daily redundancy score is defined as the mean of the off-diagonal similarity values:</w:t>
      </w:r>
      <w:r w:rsidRPr="002E333C">
        <w:rPr>
          <w:lang w:val="en-GB"/>
        </w:rPr>
        <w:br/>
      </w:r>
      <m:oMathPara>
        <m:oMath>
          <m:r>
            <w:rPr>
              <w:rFonts w:ascii="Cambria Math" w:hAnsi="Cambria Math"/>
            </w:rPr>
            <m:t>Redundanc</m:t>
          </m:r>
          <m:sSub>
            <m:sSubPr>
              <m:ctrlPr>
                <w:rPr>
                  <w:rFonts w:ascii="Cambria Math" w:hAnsi="Cambria Math"/>
                </w:rPr>
              </m:ctrlPr>
            </m:sSubPr>
            <m:e>
              <m:r>
                <w:rPr>
                  <w:rFonts w:ascii="Cambria Math" w:hAnsi="Cambria Math"/>
                </w:rPr>
                <m:t>y</m:t>
              </m:r>
            </m:e>
            <m:sub>
              <m:r>
                <w:rPr>
                  <w:rFonts w:ascii="Cambria Math" w:hAnsi="Cambria Math"/>
                </w:rPr>
                <m:t>d</m:t>
              </m:r>
            </m:sub>
          </m:sSub>
          <m:r>
            <w:rPr>
              <w:rFonts w:ascii="Cambria Math" w:hAnsi="Cambria Math"/>
              <w:lang w:val="en-GB"/>
            </w:rPr>
            <m:t>=</m:t>
          </m:r>
          <m:f>
            <m:fPr>
              <m:ctrlPr>
                <w:rPr>
                  <w:rFonts w:ascii="Cambria Math" w:hAnsi="Cambria Math"/>
                </w:rPr>
              </m:ctrlPr>
            </m:fPr>
            <m:num>
              <m:r>
                <w:rPr>
                  <w:rFonts w:ascii="Cambria Math" w:hAnsi="Cambria Math"/>
                  <w:lang w:val="en-GB"/>
                </w:rPr>
                <m:t>1</m:t>
              </m:r>
            </m:num>
            <m:den>
              <m:r>
                <w:rPr>
                  <w:rFonts w:ascii="Cambria Math" w:hAnsi="Cambria Math"/>
                </w:rPr>
                <m:t>N</m:t>
              </m:r>
              <m:r>
                <w:rPr>
                  <w:rFonts w:ascii="Cambria Math" w:hAnsi="Cambria Math"/>
                  <w:lang w:val="en-GB"/>
                </w:rPr>
                <m:t>(</m:t>
              </m:r>
              <m:r>
                <w:rPr>
                  <w:rFonts w:ascii="Cambria Math" w:hAnsi="Cambria Math"/>
                </w:rPr>
                <m:t>N</m:t>
              </m:r>
              <m:r>
                <w:rPr>
                  <w:rFonts w:ascii="Cambria Math" w:hAnsi="Cambria Math"/>
                  <w:lang w:val="en-GB"/>
                </w:rPr>
                <m:t>-1)</m:t>
              </m:r>
            </m:den>
          </m:f>
          <m:nary>
            <m:naryPr>
              <m:chr m:val="∑"/>
              <m:limLoc m:val="subSup"/>
              <m:grow m:val="1"/>
              <m:supHide m:val="1"/>
              <m:ctrlPr>
                <w:rPr>
                  <w:rFonts w:ascii="Cambria Math" w:hAnsi="Cambria Math"/>
                </w:rPr>
              </m:ctrlPr>
            </m:naryPr>
            <m:sub>
              <m:r>
                <w:rPr>
                  <w:rFonts w:ascii="Cambria Math" w:hAnsi="Cambria Math"/>
                </w:rPr>
                <m:t>i</m:t>
              </m:r>
              <m:r>
                <m:rPr>
                  <m:sty m:val="p"/>
                </m:rPr>
                <w:rPr>
                  <w:rFonts w:ascii="Cambria Math" w:hAnsi="Cambria Math"/>
                  <w:lang w:val="en-GB"/>
                </w:rPr>
                <m:t>≠</m:t>
              </m:r>
              <m:r>
                <w:rPr>
                  <w:rFonts w:ascii="Cambria Math" w:hAnsi="Cambria Math"/>
                </w:rPr>
                <m:t>j</m:t>
              </m:r>
            </m:sub>
            <m:sup/>
            <m:e>
              <m:r>
                <m:rPr>
                  <m:nor/>
                </m:rPr>
                <w:rPr>
                  <w:lang w:val="en-GB"/>
                </w:rPr>
                <m:t>CosineSim</m:t>
              </m:r>
              <m:r>
                <w:rPr>
                  <w:rFonts w:ascii="Cambria Math" w:hAnsi="Cambria Math"/>
                  <w:lang w:val="en-GB"/>
                </w:rPr>
                <m:t>(</m:t>
              </m:r>
            </m:e>
          </m:nary>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w:rPr>
              <w:rFonts w:ascii="Cambria Math" w:hAnsi="Cambria Math"/>
              <w:lang w:val="en-GB"/>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r>
            <w:rPr>
              <w:rFonts w:ascii="Cambria Math" w:hAnsi="Cambria Math"/>
              <w:lang w:val="en-GB"/>
            </w:rPr>
            <m:t>)</m:t>
          </m:r>
        </m:oMath>
      </m:oMathPara>
    </w:p>
    <w:p w14:paraId="4F84AD94" w14:textId="77777777" w:rsidR="002E333C" w:rsidRPr="002E333C" w:rsidRDefault="002E333C" w:rsidP="002E333C">
      <w:proofErr w:type="spellStart"/>
      <w:r w:rsidRPr="002E333C">
        <w:t>Results</w:t>
      </w:r>
      <w:proofErr w:type="spellEnd"/>
    </w:p>
    <w:p w14:paraId="3003E387" w14:textId="77777777" w:rsidR="002E333C" w:rsidRPr="002E333C" w:rsidRDefault="002E333C" w:rsidP="002E333C">
      <w:pPr>
        <w:numPr>
          <w:ilvl w:val="0"/>
          <w:numId w:val="5"/>
        </w:numPr>
      </w:pPr>
      <w:r w:rsidRPr="002E333C">
        <w:t xml:space="preserve">Global </w:t>
      </w:r>
      <w:proofErr w:type="spellStart"/>
      <w:r w:rsidRPr="002E333C">
        <w:t>Redundancy</w:t>
      </w:r>
      <w:proofErr w:type="spellEnd"/>
      <w:r w:rsidRPr="002E333C">
        <w:t xml:space="preserve"> Score: 0.0214 (2.14%).</w:t>
      </w:r>
    </w:p>
    <w:p w14:paraId="203C86F0" w14:textId="77777777" w:rsidR="002E333C" w:rsidRPr="002E333C" w:rsidRDefault="002E333C" w:rsidP="002E333C">
      <w:pPr>
        <w:numPr>
          <w:ilvl w:val="0"/>
          <w:numId w:val="5"/>
        </w:numPr>
        <w:rPr>
          <w:lang w:val="en-GB"/>
        </w:rPr>
      </w:pPr>
      <w:r w:rsidRPr="002E333C">
        <w:rPr>
          <w:lang w:val="en-GB"/>
        </w:rPr>
        <w:t>High Redundancy Events: Only 9 days exhibited a similarity score $&gt; 0.20$.</w:t>
      </w:r>
    </w:p>
    <w:p w14:paraId="4D11774F" w14:textId="77777777" w:rsidR="002E333C" w:rsidRPr="002E333C" w:rsidRDefault="002E333C" w:rsidP="002E333C">
      <w:pPr>
        <w:rPr>
          <w:lang w:val="en-GB"/>
        </w:rPr>
      </w:pPr>
      <w:r w:rsidRPr="002E333C">
        <w:rPr>
          <w:lang w:val="en-GB"/>
        </w:rPr>
        <w:t>Interpretation</w:t>
      </w:r>
      <w:r w:rsidRPr="002E333C">
        <w:rPr>
          <w:lang w:val="en-GB"/>
        </w:rPr>
        <w:br/>
        <w:t>The exceptionally low global score indicates a high degree of Information Entropy. The </w:t>
      </w:r>
      <w:r w:rsidRPr="002E333C">
        <w:rPr>
          <w:i/>
          <w:iCs/>
          <w:lang w:val="en-GB"/>
        </w:rPr>
        <w:t>New York Times</w:t>
      </w:r>
      <w:r w:rsidRPr="002E333C">
        <w:rPr>
          <w:lang w:val="en-GB"/>
        </w:rPr>
        <w:t> coverage of the crypto ecosystem is characterized by diversity rather than repetition; articles on the same day typically address distinct angles (e.g., regulatory updates vs. market analysis) rather than echoing a single narrative.</w:t>
      </w:r>
    </w:p>
    <w:p w14:paraId="321AEE89" w14:textId="77777777" w:rsidR="002E333C" w:rsidRPr="002E333C" w:rsidRDefault="002E333C" w:rsidP="002E333C">
      <w:pPr>
        <w:rPr>
          <w:lang w:val="en-GB"/>
        </w:rPr>
      </w:pPr>
      <w:r w:rsidRPr="002E333C">
        <w:rPr>
          <w:lang w:val="en-GB"/>
        </w:rPr>
        <w:t>The outliers (High Redundancy Days) serve as "Monolithic Event Detectors". These days correspond to massive market shocks (e.g., the FTX bankruptcy or major regulatory bans) where the magnitude of the event forced the entire editorial focus onto a single topic, reducing topic diversity to near zero. From a Data Quality perspective, this validates that the article_count feature predominantly represents genuine signal diversity, except during these rare "black swan" events.</w:t>
      </w:r>
    </w:p>
    <w:p w14:paraId="149E06B8" w14:textId="77777777" w:rsidR="002E333C" w:rsidRPr="00411EAE" w:rsidRDefault="002E333C">
      <w:pPr>
        <w:rPr>
          <w:lang w:val="en-GB"/>
        </w:rPr>
      </w:pPr>
    </w:p>
    <w:sectPr w:rsidR="002E333C" w:rsidRPr="00411EA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3465"/>
    <w:multiLevelType w:val="multilevel"/>
    <w:tmpl w:val="A6DAA5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7D5F98"/>
    <w:multiLevelType w:val="multilevel"/>
    <w:tmpl w:val="361674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467FAD"/>
    <w:multiLevelType w:val="multilevel"/>
    <w:tmpl w:val="EE7E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7206BCA"/>
    <w:multiLevelType w:val="multilevel"/>
    <w:tmpl w:val="E3D4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7144637"/>
    <w:multiLevelType w:val="multilevel"/>
    <w:tmpl w:val="EB920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7586409">
    <w:abstractNumId w:val="2"/>
  </w:num>
  <w:num w:numId="2" w16cid:durableId="1499078190">
    <w:abstractNumId w:val="1"/>
  </w:num>
  <w:num w:numId="3" w16cid:durableId="203948456">
    <w:abstractNumId w:val="0"/>
  </w:num>
  <w:num w:numId="4" w16cid:durableId="1334843926">
    <w:abstractNumId w:val="4"/>
  </w:num>
  <w:num w:numId="5" w16cid:durableId="226334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EAE"/>
    <w:rsid w:val="002E333C"/>
    <w:rsid w:val="00411EAE"/>
    <w:rsid w:val="007F44EB"/>
    <w:rsid w:val="00845786"/>
    <w:rsid w:val="0096068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B3E35"/>
  <w15:chartTrackingRefBased/>
  <w15:docId w15:val="{1200AC14-8F71-4D6D-88FE-5DC3E1909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11E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11E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11EA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11EA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11EA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11EA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11EA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11EA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11EA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11EA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11EA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11EA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11EA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11EA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11EA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11EA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11EA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11EAE"/>
    <w:rPr>
      <w:rFonts w:eastAsiaTheme="majorEastAsia" w:cstheme="majorBidi"/>
      <w:color w:val="272727" w:themeColor="text1" w:themeTint="D8"/>
    </w:rPr>
  </w:style>
  <w:style w:type="paragraph" w:styleId="Titolo">
    <w:name w:val="Title"/>
    <w:basedOn w:val="Normale"/>
    <w:next w:val="Normale"/>
    <w:link w:val="TitoloCarattere"/>
    <w:uiPriority w:val="10"/>
    <w:qFormat/>
    <w:rsid w:val="00411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11EA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11EA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11EA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11EA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11EAE"/>
    <w:rPr>
      <w:i/>
      <w:iCs/>
      <w:color w:val="404040" w:themeColor="text1" w:themeTint="BF"/>
    </w:rPr>
  </w:style>
  <w:style w:type="paragraph" w:styleId="Paragrafoelenco">
    <w:name w:val="List Paragraph"/>
    <w:basedOn w:val="Normale"/>
    <w:uiPriority w:val="34"/>
    <w:qFormat/>
    <w:rsid w:val="00411EAE"/>
    <w:pPr>
      <w:ind w:left="720"/>
      <w:contextualSpacing/>
    </w:pPr>
  </w:style>
  <w:style w:type="character" w:styleId="Enfasiintensa">
    <w:name w:val="Intense Emphasis"/>
    <w:basedOn w:val="Carpredefinitoparagrafo"/>
    <w:uiPriority w:val="21"/>
    <w:qFormat/>
    <w:rsid w:val="00411EAE"/>
    <w:rPr>
      <w:i/>
      <w:iCs/>
      <w:color w:val="0F4761" w:themeColor="accent1" w:themeShade="BF"/>
    </w:rPr>
  </w:style>
  <w:style w:type="paragraph" w:styleId="Citazioneintensa">
    <w:name w:val="Intense Quote"/>
    <w:basedOn w:val="Normale"/>
    <w:next w:val="Normale"/>
    <w:link w:val="CitazioneintensaCarattere"/>
    <w:uiPriority w:val="30"/>
    <w:qFormat/>
    <w:rsid w:val="00411E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11EAE"/>
    <w:rPr>
      <w:i/>
      <w:iCs/>
      <w:color w:val="0F4761" w:themeColor="accent1" w:themeShade="BF"/>
    </w:rPr>
  </w:style>
  <w:style w:type="character" w:styleId="Riferimentointenso">
    <w:name w:val="Intense Reference"/>
    <w:basedOn w:val="Carpredefinitoparagrafo"/>
    <w:uiPriority w:val="32"/>
    <w:qFormat/>
    <w:rsid w:val="00411E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662</Words>
  <Characters>3780</Characters>
  <Application>Microsoft Office Word</Application>
  <DocSecurity>0</DocSecurity>
  <Lines>31</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Zanotti</dc:creator>
  <cp:keywords/>
  <dc:description/>
  <cp:lastModifiedBy>Lorenzo Zanotti</cp:lastModifiedBy>
  <cp:revision>1</cp:revision>
  <dcterms:created xsi:type="dcterms:W3CDTF">2025-12-26T18:26:00Z</dcterms:created>
  <dcterms:modified xsi:type="dcterms:W3CDTF">2025-12-26T19:05:00Z</dcterms:modified>
</cp:coreProperties>
</file>