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77777777" w:rsidR="00A17A48" w:rsidRDefault="00446A4D">
      <w:pPr>
        <w:spacing w:after="240" w:line="240" w:lineRule="auto"/>
        <w:jc w:val="center"/>
        <w:rPr>
          <w:b/>
          <w:i/>
          <w:color w:val="000099"/>
          <w:sz w:val="36"/>
          <w:szCs w:val="36"/>
        </w:rPr>
      </w:pPr>
      <w:r>
        <w:rPr>
          <w:b/>
          <w:i/>
          <w:color w:val="000099"/>
          <w:sz w:val="36"/>
          <w:szCs w:val="36"/>
        </w:rPr>
        <w:t>Versión 1.0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77777777" w:rsidR="00A17A48" w:rsidRDefault="00446A4D">
      <w:pPr>
        <w:spacing w:before="240" w:after="240"/>
        <w:jc w:val="center"/>
        <w:rPr>
          <w:b/>
          <w:sz w:val="38"/>
          <w:szCs w:val="38"/>
        </w:rPr>
      </w:pPr>
      <w:r>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3266"/>
        <w:gridCol w:w="3154"/>
        <w:gridCol w:w="1245"/>
      </w:tblGrid>
      <w:tr w:rsidR="00A17A48" w14:paraId="292900EA" w14:textId="77777777" w:rsidTr="00947988">
        <w:trPr>
          <w:trHeight w:val="227"/>
        </w:trPr>
        <w:tc>
          <w:tcPr>
            <w:tcW w:w="1260" w:type="dxa"/>
            <w:tcBorders>
              <w:top w:val="single" w:sz="8" w:space="0" w:color="0779E4"/>
              <w:left w:val="single" w:sz="8" w:space="0" w:color="0779E4"/>
              <w:bottom w:val="single" w:sz="8" w:space="0" w:color="0779E4"/>
              <w:right w:val="single" w:sz="8" w:space="0" w:color="0779E4"/>
            </w:tcBorders>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947988">
        <w:trPr>
          <w:trHeight w:val="4453"/>
        </w:trPr>
        <w:tc>
          <w:tcPr>
            <w:tcW w:w="1260" w:type="dxa"/>
            <w:tcBorders>
              <w:top w:val="nil"/>
              <w:left w:val="single" w:sz="8" w:space="0" w:color="0779E4"/>
              <w:bottom w:val="single" w:sz="8" w:space="0" w:color="0779E4"/>
              <w:right w:val="single" w:sz="8" w:space="0" w:color="0779E4"/>
            </w:tcBorders>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tcBorders>
              <w:top w:val="nil"/>
              <w:left w:val="nil"/>
              <w:bottom w:val="single" w:sz="8" w:space="0" w:color="0779E4"/>
              <w:right w:val="single" w:sz="8" w:space="0" w:color="0779E4"/>
            </w:tcBorders>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F3943E4" w14:textId="77777777" w:rsidR="00A17A48" w:rsidRDefault="00A17A48">
      <w:pPr>
        <w:spacing w:before="240" w:after="240"/>
        <w:ind w:left="4320" w:hanging="2160"/>
        <w:rPr>
          <w:sz w:val="20"/>
          <w:szCs w:val="20"/>
        </w:rPr>
      </w:pPr>
    </w:p>
    <w:p w14:paraId="72EE3FCB" w14:textId="77777777" w:rsidR="00A17A48" w:rsidRDefault="00A17A48">
      <w:pPr>
        <w:spacing w:before="240" w:after="240"/>
        <w:ind w:left="4320" w:hanging="2160"/>
        <w:rPr>
          <w:sz w:val="20"/>
          <w:szCs w:val="20"/>
        </w:rPr>
      </w:pPr>
    </w:p>
    <w:p w14:paraId="391230E7" w14:textId="77777777" w:rsidR="00A17A48" w:rsidRDefault="00A17A48">
      <w:pPr>
        <w:spacing w:before="240" w:after="240"/>
        <w:ind w:left="4320" w:hanging="2160"/>
        <w:rPr>
          <w:sz w:val="20"/>
          <w:szCs w:val="20"/>
        </w:rPr>
      </w:pPr>
    </w:p>
    <w:p w14:paraId="09EAE5F6" w14:textId="77777777" w:rsidR="00A17A48" w:rsidRDefault="00A17A48">
      <w:pPr>
        <w:spacing w:before="240" w:after="240"/>
        <w:ind w:left="4320" w:hanging="2160"/>
        <w:rPr>
          <w:sz w:val="20"/>
          <w:szCs w:val="20"/>
        </w:rPr>
      </w:pPr>
    </w:p>
    <w:p w14:paraId="1384D241" w14:textId="77777777" w:rsidR="00A17A48" w:rsidRDefault="00A17A48">
      <w:pPr>
        <w:spacing w:before="240" w:after="240"/>
        <w:ind w:left="4320" w:hanging="2160"/>
        <w:rPr>
          <w:sz w:val="20"/>
          <w:szCs w:val="20"/>
        </w:rPr>
      </w:pPr>
    </w:p>
    <w:p w14:paraId="6982D0D1" w14:textId="77777777" w:rsidR="00A17A48" w:rsidRDefault="00A17A48">
      <w:pPr>
        <w:spacing w:before="240" w:after="240"/>
        <w:ind w:left="4320" w:hanging="2160"/>
        <w:rPr>
          <w:sz w:val="20"/>
          <w:szCs w:val="20"/>
        </w:rPr>
      </w:pPr>
    </w:p>
    <w:p w14:paraId="2686613A" w14:textId="7A19B74F" w:rsidR="00A17A48" w:rsidRDefault="00A17A48">
      <w:pPr>
        <w:spacing w:before="240" w:after="240"/>
        <w:jc w:val="center"/>
        <w:rPr>
          <w:b/>
          <w:color w:val="05569F"/>
          <w:sz w:val="48"/>
          <w:szCs w:val="48"/>
        </w:rPr>
      </w:pPr>
    </w:p>
    <w:p w14:paraId="479A4D55" w14:textId="77777777" w:rsidR="00947988" w:rsidRDefault="00947988">
      <w:pPr>
        <w:spacing w:before="240" w:after="240"/>
        <w:jc w:val="center"/>
        <w:rPr>
          <w:b/>
          <w:color w:val="05569F"/>
          <w:sz w:val="48"/>
          <w:szCs w:val="48"/>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91955C2" w14:textId="7E4A70D9" w:rsidR="001F59A6" w:rsidRPr="007A0EA1" w:rsidRDefault="00446A4D">
          <w:pPr>
            <w:pStyle w:val="TDC1"/>
            <w:tabs>
              <w:tab w:val="left" w:pos="440"/>
              <w:tab w:val="right" w:pos="9016"/>
            </w:tabs>
            <w:rPr>
              <w:noProof/>
              <w:sz w:val="24"/>
              <w:szCs w:val="24"/>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7628529" w:history="1">
            <w:r w:rsidR="001F59A6" w:rsidRPr="007A0EA1">
              <w:rPr>
                <w:rStyle w:val="Hipervnculo"/>
                <w:b/>
                <w:noProof/>
                <w:sz w:val="24"/>
                <w:szCs w:val="24"/>
              </w:rPr>
              <w:t>1.</w:t>
            </w:r>
            <w:r w:rsidR="001F59A6" w:rsidRPr="007A0EA1">
              <w:rPr>
                <w:noProof/>
                <w:sz w:val="24"/>
                <w:szCs w:val="24"/>
              </w:rPr>
              <w:tab/>
            </w:r>
            <w:r w:rsidR="001F59A6" w:rsidRPr="007A0EA1">
              <w:rPr>
                <w:rStyle w:val="Hipervnculo"/>
                <w:b/>
                <w:noProof/>
                <w:sz w:val="24"/>
                <w:szCs w:val="24"/>
              </w:rPr>
              <w:t>INTRODUCCIÓN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_Toc87628529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4</w:t>
            </w:r>
            <w:r w:rsidR="001F59A6" w:rsidRPr="007A0EA1">
              <w:rPr>
                <w:noProof/>
                <w:webHidden/>
                <w:sz w:val="24"/>
                <w:szCs w:val="24"/>
              </w:rPr>
              <w:fldChar w:fldCharType="end"/>
            </w:r>
          </w:hyperlink>
        </w:p>
        <w:p w14:paraId="1BFBB92A" w14:textId="0C7BFA9D" w:rsidR="001F59A6" w:rsidRPr="00A875F6" w:rsidRDefault="00100079">
          <w:pPr>
            <w:pStyle w:val="TDC2"/>
            <w:tabs>
              <w:tab w:val="left" w:pos="880"/>
              <w:tab w:val="right" w:pos="9016"/>
            </w:tabs>
            <w:rPr>
              <w:b/>
              <w:bCs/>
              <w:noProof/>
              <w:sz w:val="24"/>
              <w:szCs w:val="24"/>
            </w:rPr>
          </w:pPr>
          <w:hyperlink w:anchor="_Toc87628530" w:history="1">
            <w:r w:rsidR="001F59A6" w:rsidRPr="00A875F6">
              <w:rPr>
                <w:rStyle w:val="Hipervnculo"/>
                <w:b/>
                <w:bCs/>
                <w:noProof/>
                <w:sz w:val="24"/>
                <w:szCs w:val="24"/>
              </w:rPr>
              <w:t>1.1.</w:t>
            </w:r>
            <w:r w:rsidR="001F59A6" w:rsidRPr="00A875F6">
              <w:rPr>
                <w:b/>
                <w:bCs/>
                <w:noProof/>
                <w:sz w:val="24"/>
                <w:szCs w:val="24"/>
              </w:rPr>
              <w:tab/>
            </w:r>
            <w:r w:rsidR="001F59A6" w:rsidRPr="00A875F6">
              <w:rPr>
                <w:rStyle w:val="Hipervnculo"/>
                <w:b/>
                <w:bCs/>
                <w:noProof/>
                <w:sz w:val="24"/>
                <w:szCs w:val="24"/>
              </w:rPr>
              <w:t>Situación de la empresa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_Toc87628530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22FB30E3" w14:textId="27A0475B" w:rsidR="001F59A6" w:rsidRPr="00A875F6" w:rsidRDefault="00100079">
          <w:pPr>
            <w:pStyle w:val="TDC2"/>
            <w:tabs>
              <w:tab w:val="left" w:pos="880"/>
              <w:tab w:val="right" w:pos="9016"/>
            </w:tabs>
            <w:rPr>
              <w:b/>
              <w:bCs/>
              <w:noProof/>
              <w:sz w:val="24"/>
              <w:szCs w:val="24"/>
            </w:rPr>
          </w:pPr>
          <w:hyperlink w:anchor="_Toc87628531" w:history="1">
            <w:r w:rsidR="001F59A6" w:rsidRPr="00A875F6">
              <w:rPr>
                <w:rStyle w:val="Hipervnculo"/>
                <w:b/>
                <w:bCs/>
                <w:noProof/>
                <w:sz w:val="24"/>
                <w:szCs w:val="24"/>
              </w:rPr>
              <w:t>1.2.</w:t>
            </w:r>
            <w:r w:rsidR="001F59A6" w:rsidRPr="00A875F6">
              <w:rPr>
                <w:b/>
                <w:bCs/>
                <w:noProof/>
                <w:sz w:val="24"/>
                <w:szCs w:val="24"/>
              </w:rPr>
              <w:tab/>
            </w:r>
            <w:r w:rsidR="001F59A6" w:rsidRPr="00A875F6">
              <w:rPr>
                <w:rStyle w:val="Hipervnculo"/>
                <w:b/>
                <w:bCs/>
                <w:noProof/>
                <w:sz w:val="24"/>
                <w:szCs w:val="24"/>
              </w:rPr>
              <w:t>Problemática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_Toc87628531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198F49E3" w14:textId="3CEAA765" w:rsidR="001F59A6" w:rsidRPr="00A875F6" w:rsidRDefault="00100079">
          <w:pPr>
            <w:pStyle w:val="TDC2"/>
            <w:tabs>
              <w:tab w:val="left" w:pos="880"/>
              <w:tab w:val="right" w:pos="9016"/>
            </w:tabs>
            <w:rPr>
              <w:b/>
              <w:bCs/>
              <w:noProof/>
              <w:sz w:val="24"/>
              <w:szCs w:val="24"/>
            </w:rPr>
          </w:pPr>
          <w:hyperlink w:anchor="_Toc87628532" w:history="1">
            <w:r w:rsidR="001F59A6" w:rsidRPr="00A875F6">
              <w:rPr>
                <w:rStyle w:val="Hipervnculo"/>
                <w:b/>
                <w:bCs/>
                <w:noProof/>
                <w:sz w:val="24"/>
                <w:szCs w:val="24"/>
              </w:rPr>
              <w:t>1.3.</w:t>
            </w:r>
            <w:r w:rsidR="001F59A6" w:rsidRPr="00A875F6">
              <w:rPr>
                <w:b/>
                <w:bCs/>
                <w:noProof/>
                <w:sz w:val="24"/>
                <w:szCs w:val="24"/>
              </w:rPr>
              <w:tab/>
            </w:r>
            <w:r w:rsidR="001F59A6" w:rsidRPr="00A875F6">
              <w:rPr>
                <w:rStyle w:val="Hipervnculo"/>
                <w:b/>
                <w:bCs/>
                <w:noProof/>
                <w:sz w:val="24"/>
                <w:szCs w:val="24"/>
              </w:rPr>
              <w:t>Objetivo del PGC</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_Toc87628532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5</w:t>
            </w:r>
            <w:r w:rsidR="001F59A6" w:rsidRPr="00A875F6">
              <w:rPr>
                <w:b/>
                <w:bCs/>
                <w:noProof/>
                <w:webHidden/>
                <w:sz w:val="24"/>
                <w:szCs w:val="24"/>
              </w:rPr>
              <w:fldChar w:fldCharType="end"/>
            </w:r>
          </w:hyperlink>
        </w:p>
        <w:p w14:paraId="29123FA4" w14:textId="4F88C4C0" w:rsidR="001F59A6" w:rsidRPr="007A0EA1" w:rsidRDefault="00100079">
          <w:pPr>
            <w:pStyle w:val="TDC1"/>
            <w:tabs>
              <w:tab w:val="left" w:pos="440"/>
              <w:tab w:val="right" w:pos="9016"/>
            </w:tabs>
            <w:rPr>
              <w:noProof/>
              <w:sz w:val="24"/>
              <w:szCs w:val="24"/>
            </w:rPr>
          </w:pPr>
          <w:hyperlink w:anchor="_Toc87628533" w:history="1">
            <w:r w:rsidR="001F59A6" w:rsidRPr="007A0EA1">
              <w:rPr>
                <w:rStyle w:val="Hipervnculo"/>
                <w:b/>
                <w:noProof/>
                <w:sz w:val="24"/>
                <w:szCs w:val="24"/>
              </w:rPr>
              <w:t>2.</w:t>
            </w:r>
            <w:r w:rsidR="001F59A6" w:rsidRPr="007A0EA1">
              <w:rPr>
                <w:noProof/>
                <w:sz w:val="24"/>
                <w:szCs w:val="24"/>
              </w:rPr>
              <w:tab/>
            </w:r>
            <w:r w:rsidR="001F59A6" w:rsidRPr="007A0EA1">
              <w:rPr>
                <w:rStyle w:val="Hipervnculo"/>
                <w:b/>
                <w:noProof/>
                <w:sz w:val="24"/>
                <w:szCs w:val="24"/>
              </w:rPr>
              <w:t>ACTIVIDADES DE LA GCS</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_Toc87628533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C203691" w14:textId="43F53C26" w:rsidR="001F59A6" w:rsidRPr="007A0EA1" w:rsidRDefault="00100079">
          <w:pPr>
            <w:pStyle w:val="TDC2"/>
            <w:tabs>
              <w:tab w:val="left" w:pos="880"/>
              <w:tab w:val="right" w:pos="9016"/>
            </w:tabs>
            <w:rPr>
              <w:noProof/>
              <w:sz w:val="24"/>
              <w:szCs w:val="24"/>
            </w:rPr>
          </w:pPr>
          <w:hyperlink w:anchor="_Toc87628534" w:history="1">
            <w:r w:rsidR="001F59A6" w:rsidRPr="007A0EA1">
              <w:rPr>
                <w:rStyle w:val="Hipervnculo"/>
                <w:b/>
                <w:noProof/>
                <w:sz w:val="24"/>
                <w:szCs w:val="24"/>
              </w:rPr>
              <w:t>2.1.</w:t>
            </w:r>
            <w:r w:rsidR="001F59A6" w:rsidRPr="007A0EA1">
              <w:rPr>
                <w:noProof/>
                <w:sz w:val="24"/>
                <w:szCs w:val="24"/>
              </w:rPr>
              <w:tab/>
            </w:r>
            <w:r w:rsidR="001F59A6" w:rsidRPr="007A0EA1">
              <w:rPr>
                <w:rStyle w:val="Hipervnculo"/>
                <w:b/>
                <w:noProof/>
                <w:sz w:val="24"/>
                <w:szCs w:val="24"/>
              </w:rPr>
              <w:t>Identificación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_Toc87628534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ADA3729" w14:textId="0888C108" w:rsidR="001F59A6" w:rsidRPr="00A875F6" w:rsidRDefault="00100079">
          <w:pPr>
            <w:pStyle w:val="TDC3"/>
            <w:tabs>
              <w:tab w:val="left" w:pos="1320"/>
              <w:tab w:val="right" w:pos="9016"/>
            </w:tabs>
            <w:rPr>
              <w:noProof/>
              <w:sz w:val="24"/>
              <w:szCs w:val="24"/>
            </w:rPr>
          </w:pPr>
          <w:hyperlink w:anchor="_Toc87628535" w:history="1">
            <w:r w:rsidR="001F59A6" w:rsidRPr="00A875F6">
              <w:rPr>
                <w:rStyle w:val="Hipervnculo"/>
                <w:noProof/>
                <w:sz w:val="24"/>
                <w:szCs w:val="24"/>
              </w:rPr>
              <w:t>2.1.1.</w:t>
            </w:r>
            <w:r w:rsidR="001F59A6" w:rsidRPr="00A875F6">
              <w:rPr>
                <w:noProof/>
                <w:sz w:val="24"/>
                <w:szCs w:val="24"/>
              </w:rPr>
              <w:tab/>
            </w:r>
            <w:r w:rsidR="001F59A6" w:rsidRPr="00A875F6">
              <w:rPr>
                <w:rStyle w:val="Hipervnculo"/>
                <w:noProof/>
                <w:sz w:val="24"/>
                <w:szCs w:val="24"/>
              </w:rPr>
              <w:t>Lista de clasificación de CI</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_Toc87628535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6</w:t>
            </w:r>
            <w:r w:rsidR="001F59A6" w:rsidRPr="00A875F6">
              <w:rPr>
                <w:noProof/>
                <w:webHidden/>
                <w:sz w:val="24"/>
                <w:szCs w:val="24"/>
              </w:rPr>
              <w:fldChar w:fldCharType="end"/>
            </w:r>
          </w:hyperlink>
        </w:p>
        <w:p w14:paraId="6082FB9B" w14:textId="20861A5B" w:rsidR="001F59A6" w:rsidRPr="00A875F6" w:rsidRDefault="00100079">
          <w:pPr>
            <w:pStyle w:val="TDC3"/>
            <w:tabs>
              <w:tab w:val="left" w:pos="1320"/>
              <w:tab w:val="right" w:pos="9016"/>
            </w:tabs>
            <w:rPr>
              <w:noProof/>
              <w:sz w:val="24"/>
              <w:szCs w:val="24"/>
            </w:rPr>
          </w:pPr>
          <w:hyperlink w:anchor="_Toc87628536" w:history="1">
            <w:r w:rsidR="001F59A6" w:rsidRPr="00A875F6">
              <w:rPr>
                <w:rStyle w:val="Hipervnculo"/>
                <w:noProof/>
                <w:sz w:val="24"/>
                <w:szCs w:val="24"/>
              </w:rPr>
              <w:t>2.1.2.</w:t>
            </w:r>
            <w:r w:rsidR="001F59A6" w:rsidRPr="00A875F6">
              <w:rPr>
                <w:noProof/>
                <w:sz w:val="24"/>
                <w:szCs w:val="24"/>
              </w:rPr>
              <w:tab/>
            </w:r>
            <w:r w:rsidR="001F59A6" w:rsidRPr="00A875F6">
              <w:rPr>
                <w:rStyle w:val="Hipervnculo"/>
                <w:noProof/>
                <w:sz w:val="24"/>
                <w:szCs w:val="24"/>
              </w:rPr>
              <w:t>Definición de la Nomenclatura de ítem</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_Toc87628536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7</w:t>
            </w:r>
            <w:r w:rsidR="001F59A6" w:rsidRPr="00A875F6">
              <w:rPr>
                <w:noProof/>
                <w:webHidden/>
                <w:sz w:val="24"/>
                <w:szCs w:val="24"/>
              </w:rPr>
              <w:fldChar w:fldCharType="end"/>
            </w:r>
          </w:hyperlink>
        </w:p>
        <w:p w14:paraId="1BFB4FBD" w14:textId="069DFAB1" w:rsidR="001F59A6" w:rsidRPr="00A875F6" w:rsidRDefault="00100079">
          <w:pPr>
            <w:pStyle w:val="TDC3"/>
            <w:tabs>
              <w:tab w:val="left" w:pos="1320"/>
              <w:tab w:val="right" w:pos="9016"/>
            </w:tabs>
            <w:rPr>
              <w:noProof/>
              <w:sz w:val="24"/>
              <w:szCs w:val="24"/>
            </w:rPr>
          </w:pPr>
          <w:hyperlink w:anchor="_Toc87628537" w:history="1">
            <w:r w:rsidR="001F59A6" w:rsidRPr="00A875F6">
              <w:rPr>
                <w:rStyle w:val="Hipervnculo"/>
                <w:noProof/>
                <w:sz w:val="24"/>
                <w:szCs w:val="24"/>
              </w:rPr>
              <w:t>2.1.3.</w:t>
            </w:r>
            <w:r w:rsidR="001F59A6" w:rsidRPr="00A875F6">
              <w:rPr>
                <w:noProof/>
                <w:sz w:val="24"/>
                <w:szCs w:val="24"/>
              </w:rPr>
              <w:tab/>
            </w:r>
            <w:r w:rsidR="001F59A6" w:rsidRPr="00A875F6">
              <w:rPr>
                <w:rStyle w:val="Hipervnculo"/>
                <w:noProof/>
                <w:sz w:val="24"/>
                <w:szCs w:val="24"/>
              </w:rPr>
              <w:t>Lista de ítem con la nomenclatura</w:t>
            </w:r>
            <w:r w:rsidR="00A92E78">
              <w:rPr>
                <w:rStyle w:val="Hipervnculo"/>
                <w:noProof/>
                <w:sz w:val="24"/>
                <w:szCs w:val="24"/>
              </w:rPr>
              <w:t xml:space="preserve">    </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_Toc87628537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9</w:t>
            </w:r>
            <w:r w:rsidR="001F59A6" w:rsidRPr="00A875F6">
              <w:rPr>
                <w:noProof/>
                <w:webHidden/>
                <w:sz w:val="24"/>
                <w:szCs w:val="24"/>
              </w:rPr>
              <w:fldChar w:fldCharType="end"/>
            </w:r>
          </w:hyperlink>
        </w:p>
        <w:p w14:paraId="6B28AABD" w14:textId="132EC4C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56A261C4" w14:textId="77777777" w:rsidR="00A17A48" w:rsidRDefault="00A17A48">
      <w:pPr>
        <w:spacing w:before="240" w:after="240"/>
        <w:jc w:val="center"/>
        <w:rPr>
          <w:b/>
          <w:color w:val="05569F"/>
          <w:sz w:val="48"/>
          <w:szCs w:val="48"/>
        </w:rPr>
      </w:pPr>
    </w:p>
    <w:p w14:paraId="2E8D773E" w14:textId="77777777" w:rsidR="00A17A48" w:rsidRDefault="00A17A48">
      <w:pPr>
        <w:spacing w:before="240" w:after="240"/>
        <w:jc w:val="center"/>
        <w:rPr>
          <w:b/>
          <w:color w:val="05569F"/>
          <w:sz w:val="48"/>
          <w:szCs w:val="48"/>
        </w:rPr>
      </w:pPr>
    </w:p>
    <w:p w14:paraId="0424539A"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762852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762853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7628531"/>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7628532"/>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762853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762853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pPr>
        <w:pStyle w:val="Ttulo3"/>
        <w:numPr>
          <w:ilvl w:val="2"/>
          <w:numId w:val="1"/>
        </w:numPr>
        <w:spacing w:before="200" w:after="200" w:line="360" w:lineRule="auto"/>
        <w:rPr>
          <w:b/>
        </w:rPr>
      </w:pPr>
      <w:bookmarkStart w:id="8" w:name="_Toc87628535"/>
      <w:r>
        <w:rPr>
          <w:b/>
        </w:rPr>
        <w:t>Lista de clasificación de CI</w:t>
      </w:r>
      <w:bookmarkEnd w:id="8"/>
      <w:r>
        <w:rPr>
          <w:b/>
        </w:rP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pPr>
        <w:pStyle w:val="Ttulo3"/>
        <w:numPr>
          <w:ilvl w:val="2"/>
          <w:numId w:val="1"/>
        </w:numPr>
        <w:spacing w:before="200" w:after="200" w:line="360" w:lineRule="auto"/>
        <w:rPr>
          <w:b/>
        </w:rPr>
      </w:pPr>
      <w:bookmarkStart w:id="9" w:name="_Toc87628536"/>
      <w:r>
        <w:rPr>
          <w:b/>
        </w:rP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pPr>
        <w:pStyle w:val="Ttulo3"/>
        <w:numPr>
          <w:ilvl w:val="2"/>
          <w:numId w:val="1"/>
        </w:numPr>
        <w:spacing w:before="200" w:after="200" w:line="360" w:lineRule="auto"/>
        <w:rPr>
          <w:b/>
        </w:rPr>
      </w:pPr>
      <w:bookmarkStart w:id="10" w:name="_lg67qdwq5zh3" w:colFirst="0" w:colLast="0"/>
      <w:bookmarkStart w:id="11" w:name="_Toc87628537"/>
      <w:bookmarkEnd w:id="10"/>
      <w:r>
        <w:rPr>
          <w:b/>
        </w:rP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77777777" w:rsidR="00A17A48" w:rsidRPr="005159CC" w:rsidRDefault="00446A4D" w:rsidP="005159CC">
      <w:pPr>
        <w:ind w:left="720"/>
        <w:jc w:val="both"/>
        <w:rPr>
          <w:b/>
          <w:bCs/>
          <w:i/>
          <w:color w:val="002060"/>
        </w:rPr>
      </w:pPr>
      <w:r w:rsidRPr="005159CC">
        <w:rPr>
          <w:b/>
          <w:bCs/>
          <w:i/>
          <w:color w:val="002060"/>
        </w:rPr>
        <w:t xml:space="preserve">Tabla 5: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54EEF4CC" w14:textId="77777777" w:rsidR="00A17A48" w:rsidRDefault="00A17A48">
      <w:pPr>
        <w:rPr>
          <w:b/>
          <w:sz w:val="32"/>
          <w:szCs w:val="32"/>
        </w:rPr>
      </w:pPr>
    </w:p>
    <w:sectPr w:rsidR="00A17A48">
      <w:headerReference w:type="even" r:id="rId11"/>
      <w:headerReference w:type="default" r:id="rId12"/>
      <w:footerReference w:type="default" r:id="rId13"/>
      <w:headerReference w:type="first" r:id="rId14"/>
      <w:footerReference w:type="first" r:id="rId15"/>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0CE74" w14:textId="77777777" w:rsidR="00100079" w:rsidRDefault="00100079">
      <w:pPr>
        <w:spacing w:line="240" w:lineRule="auto"/>
      </w:pPr>
      <w:r>
        <w:separator/>
      </w:r>
    </w:p>
  </w:endnote>
  <w:endnote w:type="continuationSeparator" w:id="0">
    <w:p w14:paraId="7D99F4F1" w14:textId="77777777" w:rsidR="00100079" w:rsidRDefault="00100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Default="00446A4D">
    <w:pPr>
      <w:jc w:val="right"/>
    </w:pPr>
    <w:r>
      <w:fldChar w:fldCharType="begin"/>
    </w:r>
    <w:r>
      <w:instrText>PAGE</w:instrText>
    </w:r>
    <w:r>
      <w:fldChar w:fldCharType="separate"/>
    </w:r>
    <w:r w:rsidR="001F59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6DC43" w14:textId="77777777" w:rsidR="00100079" w:rsidRDefault="00100079">
      <w:pPr>
        <w:spacing w:line="240" w:lineRule="auto"/>
      </w:pPr>
      <w:r>
        <w:separator/>
      </w:r>
    </w:p>
  </w:footnote>
  <w:footnote w:type="continuationSeparator" w:id="0">
    <w:p w14:paraId="325CE1F1" w14:textId="77777777" w:rsidR="00100079" w:rsidRDefault="001000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100079">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100079">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7777777" w:rsidR="00A17A48" w:rsidRDefault="00446A4D">
          <w:pPr>
            <w:widowControl w:val="0"/>
            <w:spacing w:line="240" w:lineRule="auto"/>
            <w:jc w:val="center"/>
            <w:rPr>
              <w:b/>
            </w:rPr>
          </w:pPr>
          <w:r>
            <w:rPr>
              <w:b/>
            </w:rPr>
            <w:t>Versión 1.0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w:t>
          </w:r>
          <w:proofErr w:type="spellStart"/>
          <w:r w:rsidR="00735A93">
            <w:rPr>
              <w:b/>
              <w:i/>
            </w:rPr>
            <w:t>Orangesoft</w:t>
          </w:r>
          <w:proofErr w:type="spellEnd"/>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100079">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474D18AF"/>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41E49"/>
    <w:rsid w:val="000B6621"/>
    <w:rsid w:val="00100079"/>
    <w:rsid w:val="00133684"/>
    <w:rsid w:val="001459FD"/>
    <w:rsid w:val="001F59A6"/>
    <w:rsid w:val="00245A46"/>
    <w:rsid w:val="002818A4"/>
    <w:rsid w:val="00310E9B"/>
    <w:rsid w:val="00335276"/>
    <w:rsid w:val="00384402"/>
    <w:rsid w:val="00440CE2"/>
    <w:rsid w:val="00446A4D"/>
    <w:rsid w:val="004752B4"/>
    <w:rsid w:val="005159CC"/>
    <w:rsid w:val="005A59B6"/>
    <w:rsid w:val="005D7F0D"/>
    <w:rsid w:val="006D5E70"/>
    <w:rsid w:val="00735A93"/>
    <w:rsid w:val="007409A9"/>
    <w:rsid w:val="007A0EA1"/>
    <w:rsid w:val="00947988"/>
    <w:rsid w:val="00A17A48"/>
    <w:rsid w:val="00A477F0"/>
    <w:rsid w:val="00A875F6"/>
    <w:rsid w:val="00A92E78"/>
    <w:rsid w:val="00C75BF3"/>
    <w:rsid w:val="00DB29D3"/>
    <w:rsid w:val="00E63FF6"/>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1704</Words>
  <Characters>9376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ESMERALDA ARANGO QUISPE</cp:lastModifiedBy>
  <cp:revision>20</cp:revision>
  <dcterms:created xsi:type="dcterms:W3CDTF">2021-11-12T21:54:00Z</dcterms:created>
  <dcterms:modified xsi:type="dcterms:W3CDTF">2021-11-15T04:54:00Z</dcterms:modified>
</cp:coreProperties>
</file>