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2705D5"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18128FD"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0733FA1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2"/>
          <w:footerReference w:type="default" r:id="rId33"/>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4"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5F7F98E6" w14:textId="2887ADA7"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5"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77777777"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Analysis and Reporting Module 3c and 3d </w:t>
            </w:r>
          </w:p>
          <w:p w14:paraId="781D990F" w14:textId="699FBB15" w:rsidR="00B12D9E" w:rsidRDefault="002705D5" w:rsidP="00B12D9E">
            <w:pPr>
              <w:pStyle w:val="ListParagraph"/>
              <w:widowControl/>
              <w:autoSpaceDE/>
              <w:autoSpaceDN/>
              <w:spacing w:line="276" w:lineRule="auto"/>
              <w:rPr>
                <w:rFonts w:ascii="Arial" w:hAnsi="Arial" w:cs="Arial"/>
                <w:color w:val="000000"/>
              </w:rPr>
            </w:pPr>
            <w:hyperlink r:id="rId36" w:history="1">
              <w:r w:rsidR="00B12D9E" w:rsidRPr="00B12D9E">
                <w:rPr>
                  <w:rStyle w:val="Hyperlink"/>
                  <w:rFonts w:ascii="Arial" w:hAnsi="Arial" w:cs="Arial"/>
                </w:rPr>
                <w:t>3c</w:t>
              </w:r>
            </w:hyperlink>
          </w:p>
          <w:p w14:paraId="2FD902B3" w14:textId="58F9AF75" w:rsidR="00B12D9E" w:rsidRPr="00BD1A3C" w:rsidRDefault="002705D5" w:rsidP="00B12D9E">
            <w:pPr>
              <w:pStyle w:val="ListParagraph"/>
              <w:widowControl/>
              <w:autoSpaceDE/>
              <w:autoSpaceDN/>
              <w:spacing w:line="276" w:lineRule="auto"/>
              <w:rPr>
                <w:rFonts w:ascii="Arial" w:hAnsi="Arial" w:cs="Arial"/>
                <w:color w:val="000000"/>
              </w:rPr>
            </w:pPr>
            <w:hyperlink r:id="rId37" w:history="1">
              <w:r w:rsidR="00B12D9E">
                <w:rPr>
                  <w:rStyle w:val="Hyperlink"/>
                  <w:rFonts w:ascii="Arial" w:hAnsi="Arial" w:cs="Arial"/>
                </w:rPr>
                <w:t>3d</w:t>
              </w:r>
            </w:hyperlink>
            <w:r w:rsidR="00B12D9E">
              <w:rPr>
                <w:rFonts w:ascii="Arial" w:hAnsi="Arial" w:cs="Arial"/>
                <w:color w:val="000000"/>
              </w:rPr>
              <w:t xml:space="preserve"> </w:t>
            </w:r>
          </w:p>
          <w:p w14:paraId="760F5C8C" w14:textId="740084C2" w:rsidR="00BD1A3C" w:rsidRPr="007C52F5" w:rsidRDefault="00BD1A3C" w:rsidP="00BD1A3C">
            <w:pPr>
              <w:pStyle w:val="ListParagraph"/>
              <w:widowControl/>
              <w:autoSpaceDE/>
              <w:autoSpaceDN/>
              <w:spacing w:line="276" w:lineRule="auto"/>
              <w:rPr>
                <w:rFonts w:ascii="Arial" w:hAnsi="Arial" w:cs="Arial"/>
                <w:color w:val="000000"/>
              </w:rPr>
            </w:pPr>
          </w:p>
        </w:tc>
        <w:tc>
          <w:tcPr>
            <w:tcW w:w="1876"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3EB9E929" w:rsidR="00BF7645" w:rsidRPr="007C52F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38" w:history="1">
              <w:r w:rsidRPr="00710039">
                <w:rPr>
                  <w:rStyle w:val="Hyperlink"/>
                  <w:rFonts w:ascii="Arial" w:hAnsi="Arial" w:cs="Arial"/>
                  <w:bCs/>
                </w:rPr>
                <w:t>https://www.ncbi.nlm.nih.gov/pmc/articles/PMC3639880/</w:t>
              </w:r>
            </w:hyperlink>
            <w:r>
              <w:rPr>
                <w:rFonts w:ascii="Arial" w:hAnsi="Arial" w:cs="Arial"/>
                <w:bCs/>
              </w:rPr>
              <w:t xml:space="preserve"> </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5A8DA4E1" w14:textId="03C1ECB7"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A26239">
        <w:trPr>
          <w:trHeight w:val="1106"/>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9"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tr>
      <w:tr w:rsidR="00BF7645" w:rsidRPr="0003214F" w14:paraId="3745CAAF" w14:textId="77777777" w:rsidTr="002705D5">
        <w:trPr>
          <w:trHeight w:val="1295"/>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17EA618F" w14:textId="6EDFDFB9"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w:t>
            </w:r>
            <w:bookmarkStart w:id="2" w:name="_GoBack"/>
            <w:bookmarkEnd w:id="2"/>
            <w:r w:rsidRPr="00A270CE">
              <w:rPr>
                <w:rFonts w:ascii="Arial" w:hAnsi="Arial" w:cs="Arial"/>
                <w:color w:val="000000"/>
              </w:rPr>
              <w:t>view 2</w:t>
            </w:r>
          </w:p>
        </w:tc>
      </w:tr>
      <w:tr w:rsidR="00BF7645" w:rsidRPr="0003214F" w14:paraId="41B87DA8" w14:textId="77777777" w:rsidTr="00A26239">
        <w:trPr>
          <w:trHeight w:val="1286"/>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21A4B872" w:rsidR="00A26239" w:rsidRPr="007C52F5" w:rsidRDefault="00A26239" w:rsidP="00A270CE">
            <w:pPr>
              <w:pStyle w:val="ListParagraph"/>
              <w:widowControl/>
              <w:autoSpaceDE/>
              <w:autoSpaceDN/>
              <w:ind w:left="0"/>
              <w:rPr>
                <w:rFonts w:ascii="Arial" w:hAnsi="Arial" w:cs="Arial"/>
                <w:bCs/>
              </w:rPr>
            </w:pPr>
            <w:r>
              <w:rPr>
                <w:rFonts w:ascii="Arial" w:hAnsi="Arial" w:cs="Arial"/>
                <w:bCs/>
              </w:rPr>
              <w:t>Peer review 3</w:t>
            </w:r>
          </w:p>
        </w:tc>
      </w:tr>
      <w:tr w:rsidR="0015329A" w:rsidRPr="0003214F" w14:paraId="4F09C951" w14:textId="77777777" w:rsidTr="0015329A">
        <w:trPr>
          <w:trHeight w:val="629"/>
        </w:trPr>
        <w:tc>
          <w:tcPr>
            <w:tcW w:w="1249"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1806"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0"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561EE153" w14:textId="77777777" w:rsidR="00A26239" w:rsidRDefault="00A26239" w:rsidP="007C52F5">
            <w:pPr>
              <w:widowControl/>
              <w:autoSpaceDE/>
              <w:autoSpaceDN/>
              <w:rPr>
                <w:rFonts w:ascii="Arial" w:hAnsi="Arial" w:cs="Arial"/>
              </w:rPr>
            </w:pPr>
          </w:p>
          <w:p w14:paraId="190E0AF5" w14:textId="77777777" w:rsidR="00A26239" w:rsidRDefault="00A26239" w:rsidP="007C52F5">
            <w:pPr>
              <w:widowControl/>
              <w:autoSpaceDE/>
              <w:autoSpaceDN/>
              <w:rPr>
                <w:rFonts w:ascii="Arial" w:hAnsi="Arial" w:cs="Arial"/>
              </w:rPr>
            </w:pPr>
          </w:p>
          <w:p w14:paraId="3E6051CC" w14:textId="77777777" w:rsidR="00A26239" w:rsidRDefault="00A26239" w:rsidP="007C52F5">
            <w:pPr>
              <w:widowControl/>
              <w:autoSpaceDE/>
              <w:autoSpaceDN/>
              <w:rPr>
                <w:rFonts w:ascii="Arial" w:hAnsi="Arial" w:cs="Arial"/>
              </w:rPr>
            </w:pPr>
          </w:p>
          <w:p w14:paraId="592F76CD" w14:textId="3A9925C9" w:rsidR="00A26239" w:rsidRPr="007C52F5" w:rsidRDefault="00A26239" w:rsidP="007C52F5">
            <w:pPr>
              <w:widowControl/>
              <w:autoSpaceDE/>
              <w:autoSpaceDN/>
              <w:rPr>
                <w:rFonts w:ascii="Arial" w:hAnsi="Arial" w:cs="Arial"/>
                <w:bCs/>
              </w:rPr>
            </w:pPr>
            <w:r>
              <w:rPr>
                <w:rFonts w:ascii="Arial" w:hAnsi="Arial" w:cs="Arial"/>
              </w:rPr>
              <w:t>Peer review 4</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https://stats.idre.ucla.edu/sas/seminars/sas-survival/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4D78B64E" w14:textId="77777777" w:rsidR="00A26239" w:rsidRDefault="00A26239" w:rsidP="00A270CE">
            <w:pPr>
              <w:pStyle w:val="ListParagraph"/>
              <w:widowControl/>
              <w:autoSpaceDE/>
              <w:autoSpaceDN/>
              <w:ind w:left="0"/>
              <w:rPr>
                <w:rFonts w:ascii="Arial" w:hAnsi="Arial" w:cs="Arial"/>
              </w:rPr>
            </w:pPr>
          </w:p>
          <w:p w14:paraId="172F4936" w14:textId="77777777" w:rsidR="00A26239" w:rsidRDefault="00A26239" w:rsidP="00A270CE">
            <w:pPr>
              <w:pStyle w:val="ListParagraph"/>
              <w:widowControl/>
              <w:autoSpaceDE/>
              <w:autoSpaceDN/>
              <w:ind w:left="0"/>
              <w:rPr>
                <w:rFonts w:ascii="Arial" w:hAnsi="Arial" w:cs="Arial"/>
              </w:rPr>
            </w:pPr>
          </w:p>
          <w:p w14:paraId="17958F66" w14:textId="77777777" w:rsidR="00A26239" w:rsidRDefault="00A26239" w:rsidP="00A270CE">
            <w:pPr>
              <w:pStyle w:val="ListParagraph"/>
              <w:widowControl/>
              <w:autoSpaceDE/>
              <w:autoSpaceDN/>
              <w:ind w:left="0"/>
              <w:rPr>
                <w:rFonts w:ascii="Arial" w:hAnsi="Arial" w:cs="Arial"/>
              </w:rPr>
            </w:pPr>
          </w:p>
          <w:p w14:paraId="1D3BB7EC" w14:textId="77777777" w:rsidR="00A26239" w:rsidRDefault="00A26239" w:rsidP="00A270CE">
            <w:pPr>
              <w:pStyle w:val="ListParagraph"/>
              <w:widowControl/>
              <w:autoSpaceDE/>
              <w:autoSpaceDN/>
              <w:ind w:left="0"/>
              <w:rPr>
                <w:rFonts w:ascii="Arial" w:hAnsi="Arial" w:cs="Arial"/>
              </w:rPr>
            </w:pPr>
          </w:p>
          <w:p w14:paraId="55484CA9" w14:textId="77777777" w:rsidR="00A26239" w:rsidRDefault="00A26239" w:rsidP="00A270CE">
            <w:pPr>
              <w:pStyle w:val="ListParagraph"/>
              <w:widowControl/>
              <w:autoSpaceDE/>
              <w:autoSpaceDN/>
              <w:ind w:left="0"/>
              <w:rPr>
                <w:rFonts w:ascii="Arial" w:hAnsi="Arial" w:cs="Arial"/>
              </w:rPr>
            </w:pPr>
          </w:p>
          <w:p w14:paraId="44C821B7" w14:textId="278F7A79" w:rsidR="00A26239" w:rsidRPr="007C52F5" w:rsidRDefault="00A26239" w:rsidP="00A270CE">
            <w:pPr>
              <w:pStyle w:val="ListParagraph"/>
              <w:widowControl/>
              <w:autoSpaceDE/>
              <w:autoSpaceDN/>
              <w:ind w:left="0"/>
              <w:rPr>
                <w:rFonts w:ascii="Arial" w:hAnsi="Arial" w:cs="Arial"/>
                <w:bCs/>
              </w:rPr>
            </w:pPr>
            <w:r>
              <w:rPr>
                <w:rFonts w:ascii="Arial" w:hAnsi="Arial" w:cs="Arial"/>
              </w:rPr>
              <w:t>Peer review 5</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2705D5" w:rsidP="009E420A">
            <w:pPr>
              <w:pStyle w:val="ListParagraph"/>
              <w:widowControl/>
              <w:numPr>
                <w:ilvl w:val="0"/>
                <w:numId w:val="9"/>
              </w:numPr>
              <w:autoSpaceDE/>
              <w:autoSpaceDN/>
              <w:rPr>
                <w:rFonts w:ascii="Arial" w:hAnsi="Arial" w:cs="Arial"/>
              </w:rPr>
            </w:pPr>
            <w:hyperlink r:id="rId41"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23A27B77" w14:textId="77777777" w:rsidR="00A26239" w:rsidRDefault="00A26239" w:rsidP="007C52F5">
            <w:pPr>
              <w:pStyle w:val="ListParagraph"/>
              <w:widowControl/>
              <w:autoSpaceDE/>
              <w:autoSpaceDN/>
              <w:ind w:left="0"/>
              <w:rPr>
                <w:rFonts w:ascii="Arial" w:hAnsi="Arial" w:cs="Arial"/>
                <w:bCs/>
              </w:rPr>
            </w:pPr>
          </w:p>
          <w:p w14:paraId="35A155DE" w14:textId="77777777" w:rsidR="00A26239" w:rsidRDefault="00A26239" w:rsidP="007C52F5">
            <w:pPr>
              <w:pStyle w:val="ListParagraph"/>
              <w:widowControl/>
              <w:autoSpaceDE/>
              <w:autoSpaceDN/>
              <w:ind w:left="0"/>
              <w:rPr>
                <w:rFonts w:ascii="Arial" w:hAnsi="Arial" w:cs="Arial"/>
                <w:bCs/>
              </w:rPr>
            </w:pPr>
          </w:p>
          <w:p w14:paraId="39774B5D" w14:textId="1182BF37" w:rsidR="00A26239" w:rsidRPr="007C52F5" w:rsidRDefault="00A26239" w:rsidP="007C52F5">
            <w:pPr>
              <w:pStyle w:val="ListParagraph"/>
              <w:widowControl/>
              <w:autoSpaceDE/>
              <w:autoSpaceDN/>
              <w:ind w:left="0"/>
              <w:rPr>
                <w:rFonts w:ascii="Arial" w:hAnsi="Arial" w:cs="Arial"/>
                <w:bCs/>
              </w:rPr>
            </w:pPr>
            <w:r>
              <w:rPr>
                <w:rFonts w:ascii="Arial" w:hAnsi="Arial" w:cs="Arial"/>
                <w:bCs/>
              </w:rPr>
              <w:t>Peer review 6</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0939C6F2" w:rsidR="000C0EB0" w:rsidRDefault="000C0EB0">
    <w:pPr>
      <w:pStyle w:val="Footer"/>
      <w:jc w:val="center"/>
    </w:pPr>
    <w:r>
      <w:fldChar w:fldCharType="begin"/>
    </w:r>
    <w:r>
      <w:instrText xml:space="preserve"> PAGE   \* MERGEFORMAT </w:instrText>
    </w:r>
    <w:r>
      <w:fldChar w:fldCharType="separate"/>
    </w:r>
    <w:r w:rsidR="002705D5">
      <w:rPr>
        <w:noProof/>
      </w:rPr>
      <w:t>7</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www.statmethods.net/advstats/glm.htm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insidebrown.gwb.wustl.edu/People/students/StudentSupportResources/Pages/StatLab.asp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footer" Target="footer1.xml"/><Relationship Id="rId38" Type="http://schemas.openxmlformats.org/officeDocument/2006/relationships/hyperlink" Target="https://www.ncbi.nlm.nih.gov/pmc/articles/PMC3639880/"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amstat.tandfonline.com/doi/pdf/10.1080/00031305.2016.1154108?needAccess=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eader" Target="header1.xml"/><Relationship Id="rId37" Type="http://schemas.openxmlformats.org/officeDocument/2006/relationships/hyperlink" Target="https://www.youtube.com/watch?v=qaRW2-Dy-F0&amp;list=PLkfBg8ML-gIm4PsDBIplBONOyMon2p9k-&amp;index=8" TargetMode="External"/><Relationship Id="rId40" Type="http://schemas.openxmlformats.org/officeDocument/2006/relationships/hyperlink" Target="https://www.ncbi.nlm.nih.gov/pmc/articles/PMC3932959/pdf/nihms549224.pdf"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www.youtube.com/watch?v=-_oNryFHh8c&amp;list=PLkfBg8ML-gIm4PsDBIplBONOyMon2p9k-&amp;index=7"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en.wikipedia.org/wiki/The_Computer_Journa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9BA3-BB9F-42EB-BB19-B46E950D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2884</Words>
  <Characters>19480</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12</cp:revision>
  <cp:lastPrinted>2017-04-14T20:19:00Z</cp:lastPrinted>
  <dcterms:created xsi:type="dcterms:W3CDTF">2017-12-21T18:03:00Z</dcterms:created>
  <dcterms:modified xsi:type="dcterms:W3CDTF">2018-01-04T23:08:00Z</dcterms:modified>
</cp:coreProperties>
</file>