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Register of Shareholders - Truffles AI Pte Ltd</w:t>
      </w:r>
    </w:p>
    <w:p>
      <w:r>
        <w:t>As of 1st March 2025</w:t>
      </w:r>
    </w:p>
    <w:p>
      <w:r>
        <w:t>1. Truffles AI Holdings Ltd – 100,000 shares (100%)</w:t>
      </w:r>
    </w:p>
    <w:p>
      <w:r>
        <w:t>Beneficial Owners of Truffles AI Holdings Ltd:</w:t>
      </w:r>
    </w:p>
    <w:p>
      <w:r>
        <w:t>- Alice Tan – 60%</w:t>
      </w:r>
    </w:p>
    <w:p>
      <w:r>
        <w:t>- Michael Zhou – 40%</w:t>
      </w:r>
    </w:p>
    <w:p>
      <w:r>
        <w:t>Ultimate Beneficial Owners of Truffles AI Pte Ltd:</w:t>
      </w:r>
    </w:p>
    <w:p>
      <w:r>
        <w:t>- Alice Tan – 60%</w:t>
      </w:r>
    </w:p>
    <w:p>
      <w:r>
        <w:t>- Michael Zhou – 40%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