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A7" w:rsidRDefault="008C531D">
      <w:r>
        <w:t>Importance Sampling</w:t>
      </w:r>
    </w:p>
    <w:p w:rsidR="008C531D" w:rsidRDefault="008C531D">
      <w:r>
        <w:t>Variance reduction would be critical when pricing options that are deep out of money. For example, if a put option is deep out of money, which means S0 is much greater than K, then</w:t>
      </w:r>
      <w:r w:rsidR="006D17B7">
        <w:t xml:space="preserve"> the</w:t>
      </w:r>
      <w:r>
        <w:t xml:space="preserve"> most of the payoffs generated by the simulation would be zero, thus leading to a high pricing standard error. </w:t>
      </w:r>
      <w:r w:rsidR="006D17B7">
        <w:t>In order to generate more efficient simulation paths, the main idea of importance sampling is to find a form for the Radon-</w:t>
      </w:r>
      <w:proofErr w:type="spellStart"/>
      <w:r w:rsidR="006D17B7">
        <w:t>Nikodym</w:t>
      </w:r>
      <w:proofErr w:type="spellEnd"/>
      <w:r w:rsidR="006D17B7">
        <w:t xml:space="preserve"> derivative that can effectively change the probability measure.</w:t>
      </w:r>
    </w:p>
    <w:p w:rsidR="006D17B7" w:rsidRDefault="006D17B7">
      <w:r>
        <w:t>[] gives the form of the exponential twisting,</w:t>
      </w:r>
    </w:p>
    <w:p w:rsidR="006D17B7" w:rsidRDefault="00F72EB3" w:rsidP="00F72EB3">
      <w:pPr>
        <w:jc w:val="center"/>
      </w:pPr>
      <w:r w:rsidRPr="006D17B7">
        <w:rPr>
          <w:position w:val="-34"/>
        </w:rPr>
        <w:object w:dxaOrig="42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0pt;height:39pt" o:ole="">
            <v:imagedata r:id="rId4" o:title=""/>
          </v:shape>
          <o:OLEObject Type="Embed" ProgID="Equation.3" ShapeID="_x0000_i1026" DrawAspect="Content" ObjectID="_1463322037" r:id="rId5"/>
        </w:object>
      </w:r>
    </w:p>
    <w:p w:rsidR="00F72EB3" w:rsidRDefault="00F72EB3" w:rsidP="00F72EB3">
      <w:pPr>
        <w:jc w:val="center"/>
      </w:pPr>
      <w:r w:rsidRPr="00F72EB3">
        <w:rPr>
          <w:position w:val="-28"/>
        </w:rPr>
        <w:object w:dxaOrig="2700" w:dyaOrig="660">
          <v:shape id="_x0000_i1025" type="#_x0000_t75" style="width:135pt;height:33pt" o:ole="">
            <v:imagedata r:id="rId6" o:title=""/>
          </v:shape>
          <o:OLEObject Type="Embed" ProgID="Equation.3" ShapeID="_x0000_i1025" DrawAspect="Content" ObjectID="_1463322038" r:id="rId7"/>
        </w:object>
      </w:r>
    </w:p>
    <w:p w:rsidR="00F72EB3" w:rsidRDefault="00F72EB3">
      <w:proofErr w:type="gramStart"/>
      <w:r>
        <w:t>where</w:t>
      </w:r>
      <w:proofErr w:type="gramEnd"/>
      <w:r w:rsidRPr="003C2EC4">
        <w:rPr>
          <w:position w:val="-10"/>
        </w:rPr>
        <w:object w:dxaOrig="300" w:dyaOrig="340">
          <v:shape id="_x0000_i1027" type="#_x0000_t75" style="width:15pt;height:17.25pt" o:ole="">
            <v:imagedata r:id="rId8" o:title=""/>
          </v:shape>
          <o:OLEObject Type="Embed" ProgID="Equation.3" ShapeID="_x0000_i1027" DrawAspect="Content" ObjectID="_1463322039" r:id="rId9"/>
        </w:object>
      </w:r>
      <w:r>
        <w:t xml:space="preserve">are the independent process generated in the difference-of-gammas with </w:t>
      </w:r>
      <w:r w:rsidR="000E74CC">
        <w:t xml:space="preserve">new </w:t>
      </w:r>
      <w:r>
        <w:t>parameters</w:t>
      </w:r>
      <w:r w:rsidR="000E74CC" w:rsidRPr="003C2EC4">
        <w:rPr>
          <w:position w:val="-10"/>
        </w:rPr>
        <w:object w:dxaOrig="820" w:dyaOrig="300">
          <v:shape id="_x0000_i1030" type="#_x0000_t75" style="width:41.25pt;height:15pt" o:ole="">
            <v:imagedata r:id="rId10" o:title=""/>
          </v:shape>
          <o:OLEObject Type="Embed" ProgID="Equation.3" ShapeID="_x0000_i1030" DrawAspect="Content" ObjectID="_1463322040" r:id="rId11"/>
        </w:object>
      </w:r>
      <w:r>
        <w:t>.</w:t>
      </w:r>
    </w:p>
    <w:p w:rsidR="00F72EB3" w:rsidRDefault="00F72EB3">
      <w:pPr>
        <w:rPr>
          <w:rFonts w:hint="eastAsia"/>
        </w:rPr>
      </w:pPr>
      <w:r>
        <w:rPr>
          <w:rFonts w:hint="eastAsia"/>
        </w:rPr>
        <w:t>So the</w:t>
      </w:r>
      <w:r w:rsidR="000E74CC">
        <w:t xml:space="preserve"> option</w:t>
      </w:r>
      <w:r>
        <w:rPr>
          <w:rFonts w:hint="eastAsia"/>
        </w:rPr>
        <w:t xml:space="preserve"> price would be</w:t>
      </w:r>
    </w:p>
    <w:p w:rsidR="00F72EB3" w:rsidRDefault="00F72EB3" w:rsidP="0031524F">
      <w:pPr>
        <w:jc w:val="center"/>
      </w:pPr>
      <w:r w:rsidRPr="00F72EB3">
        <w:rPr>
          <w:position w:val="-32"/>
        </w:rPr>
        <w:object w:dxaOrig="6399" w:dyaOrig="740">
          <v:shape id="_x0000_i1028" type="#_x0000_t75" style="width:320.25pt;height:36.75pt" o:ole="">
            <v:imagedata r:id="rId12" o:title=""/>
          </v:shape>
          <o:OLEObject Type="Embed" ProgID="Equation.3" ShapeID="_x0000_i1028" DrawAspect="Content" ObjectID="_1463322041" r:id="rId13"/>
        </w:object>
      </w:r>
    </w:p>
    <w:p w:rsidR="00F72EB3" w:rsidRDefault="00F72EB3">
      <w:r>
        <w:t>Therefore,</w:t>
      </w:r>
    </w:p>
    <w:p w:rsidR="00F72EB3" w:rsidRDefault="000E74CC" w:rsidP="0031524F">
      <w:pPr>
        <w:jc w:val="center"/>
      </w:pPr>
      <w:r w:rsidRPr="00F72EB3">
        <w:rPr>
          <w:position w:val="-30"/>
        </w:rPr>
        <w:object w:dxaOrig="4620" w:dyaOrig="700">
          <v:shape id="_x0000_i1029" type="#_x0000_t75" style="width:231pt;height:35.25pt" o:ole="">
            <v:imagedata r:id="rId14" o:title=""/>
          </v:shape>
          <o:OLEObject Type="Embed" ProgID="Equation.3" ShapeID="_x0000_i1029" DrawAspect="Content" ObjectID="_1463322042" r:id="rId15"/>
        </w:object>
      </w:r>
    </w:p>
    <w:p w:rsidR="000E74CC" w:rsidRDefault="000E74CC"/>
    <w:p w:rsidR="000E74CC" w:rsidRDefault="000E74CC">
      <w:r>
        <w:t>Here we try to price the deep-out-of money European put with S0=100, and K=45. For the selection of new parameters</w:t>
      </w:r>
      <w:r w:rsidR="0031524F" w:rsidRPr="003C2EC4">
        <w:rPr>
          <w:position w:val="-10"/>
        </w:rPr>
        <w:object w:dxaOrig="820" w:dyaOrig="300">
          <v:shape id="_x0000_i1033" type="#_x0000_t75" style="width:41.25pt;height:15pt" o:ole="">
            <v:imagedata r:id="rId16" o:title=""/>
          </v:shape>
          <o:OLEObject Type="Embed" ProgID="Equation.3" ShapeID="_x0000_i1033" DrawAspect="Content" ObjectID="_1463322043" r:id="rId17"/>
        </w:object>
      </w:r>
      <w:r>
        <w:t>, we try to decrease the original</w:t>
      </w:r>
      <w:r w:rsidR="0031524F" w:rsidRPr="003C2EC4">
        <w:rPr>
          <w:position w:val="-6"/>
        </w:rPr>
        <w:object w:dxaOrig="180" w:dyaOrig="240">
          <v:shape id="_x0000_i1031" type="#_x0000_t75" style="width:9pt;height:12pt" o:ole="">
            <v:imagedata r:id="rId18" o:title=""/>
          </v:shape>
          <o:OLEObject Type="Embed" ProgID="Equation.3" ShapeID="_x0000_i1031" DrawAspect="Content" ObjectID="_1463322044" r:id="rId19"/>
        </w:object>
      </w:r>
      <w:r>
        <w:t>, and increase the original</w:t>
      </w:r>
      <w:r w:rsidR="0031524F" w:rsidRPr="003C2EC4">
        <w:rPr>
          <w:position w:val="-6"/>
        </w:rPr>
        <w:object w:dxaOrig="220" w:dyaOrig="200">
          <v:shape id="_x0000_i1032" type="#_x0000_t75" style="width:11.25pt;height:9.75pt" o:ole="">
            <v:imagedata r:id="rId20" o:title=""/>
          </v:shape>
          <o:OLEObject Type="Embed" ProgID="Equation.3" ShapeID="_x0000_i1032" DrawAspect="Content" ObjectID="_1463322045" r:id="rId21"/>
        </w:object>
      </w:r>
      <w:r>
        <w:t xml:space="preserve">. </w:t>
      </w:r>
      <w:r w:rsidR="0031524F">
        <w:t>The parameters are as follows,</w:t>
      </w: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09"/>
      </w:tblGrid>
      <w:tr w:rsidR="0031524F" w:rsidTr="0031524F">
        <w:trPr>
          <w:trHeight w:val="208"/>
        </w:trPr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 w:rsidRPr="003C2EC4">
              <w:rPr>
                <w:position w:val="-6"/>
              </w:rPr>
              <w:object w:dxaOrig="220" w:dyaOrig="200">
                <v:shape id="_x0000_i1035" type="#_x0000_t75" style="width:11.25pt;height:9.75pt" o:ole="">
                  <v:imagedata r:id="rId20" o:title=""/>
                </v:shape>
                <o:OLEObject Type="Embed" ProgID="Equation.3" ShapeID="_x0000_i1035" DrawAspect="Content" ObjectID="_1463322046" r:id="rId22"/>
              </w:objec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 w:rsidRPr="003C2EC4">
              <w:rPr>
                <w:position w:val="-6"/>
              </w:rPr>
              <w:object w:dxaOrig="180" w:dyaOrig="240">
                <v:shape id="_x0000_i1034" type="#_x0000_t75" style="width:9pt;height:12pt" o:ole="">
                  <v:imagedata r:id="rId18" o:title=""/>
                </v:shape>
                <o:OLEObject Type="Embed" ProgID="Equation.3" ShapeID="_x0000_i1034" DrawAspect="Content" ObjectID="_1463322047" r:id="rId23"/>
              </w:objec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 w:rsidRPr="003C2EC4">
              <w:rPr>
                <w:position w:val="-6"/>
              </w:rPr>
              <w:object w:dxaOrig="180" w:dyaOrig="200">
                <v:shape id="_x0000_i1036" type="#_x0000_t75" style="width:9pt;height:9.75pt" o:ole="">
                  <v:imagedata r:id="rId24" o:title=""/>
                </v:shape>
                <o:OLEObject Type="Embed" ProgID="Equation.3" ShapeID="_x0000_i1036" DrawAspect="Content" ObjectID="_1463322048" r:id="rId25"/>
              </w:objec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 w:rsidRPr="003C2EC4">
              <w:rPr>
                <w:position w:val="-6"/>
              </w:rPr>
              <w:object w:dxaOrig="260" w:dyaOrig="260" w14:anchorId="508E6D3E">
                <v:shape id="_x0000_i1037" type="#_x0000_t75" style="width:12.75pt;height:12.75pt" o:ole="">
                  <v:imagedata r:id="rId26" o:title=""/>
                </v:shape>
                <o:OLEObject Type="Embed" ProgID="Equation.3" ShapeID="_x0000_i1037" DrawAspect="Content" ObjectID="_1463322049" r:id="rId27"/>
              </w:objec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 w:rsidRPr="003C2EC4">
              <w:rPr>
                <w:position w:val="-6"/>
              </w:rPr>
              <w:object w:dxaOrig="240" w:dyaOrig="260" w14:anchorId="0301D259">
                <v:shape id="_x0000_i1038" type="#_x0000_t75" style="width:12pt;height:12.75pt" o:ole="">
                  <v:imagedata r:id="rId28" o:title=""/>
                </v:shape>
                <o:OLEObject Type="Embed" ProgID="Equation.3" ShapeID="_x0000_i1038" DrawAspect="Content" ObjectID="_1463322050" r:id="rId29"/>
              </w:objec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 w:rsidRPr="003C2EC4">
              <w:rPr>
                <w:position w:val="-6"/>
              </w:rPr>
              <w:object w:dxaOrig="180" w:dyaOrig="200" w14:anchorId="77EF463E">
                <v:shape id="_x0000_i1039" type="#_x0000_t75" style="width:9pt;height:9.75pt" o:ole="">
                  <v:imagedata r:id="rId30" o:title=""/>
                </v:shape>
                <o:OLEObject Type="Embed" ProgID="Equation.3" ShapeID="_x0000_i1039" DrawAspect="Content" ObjectID="_1463322051" r:id="rId31"/>
              </w:object>
            </w:r>
          </w:p>
        </w:tc>
      </w:tr>
      <w:tr w:rsidR="0031524F" w:rsidTr="0031524F">
        <w:trPr>
          <w:trHeight w:val="219"/>
        </w:trPr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0.05</w: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>
              <w:rPr>
                <w:rFonts w:hint="eastAsia"/>
              </w:rPr>
              <w:t>-0.1</w:t>
            </w:r>
          </w:p>
        </w:tc>
        <w:tc>
          <w:tcPr>
            <w:tcW w:w="1509" w:type="dxa"/>
          </w:tcPr>
          <w:p w:rsidR="0031524F" w:rsidRDefault="0031524F" w:rsidP="0031524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</w:tbl>
    <w:p w:rsidR="0031524F" w:rsidRDefault="0031524F"/>
    <w:p w:rsidR="0031524F" w:rsidRDefault="0031524F">
      <w:pPr>
        <w:rPr>
          <w:rFonts w:hint="eastAsia"/>
        </w:rPr>
      </w:pPr>
      <w:r>
        <w:rPr>
          <w:rFonts w:hint="eastAsia"/>
        </w:rPr>
        <w:t>And the pricing result is in table___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24F" w:rsidRPr="0031524F" w:rsidTr="0031524F">
        <w:tc>
          <w:tcPr>
            <w:tcW w:w="3005" w:type="dxa"/>
          </w:tcPr>
          <w:p w:rsidR="0031524F" w:rsidRPr="0031524F" w:rsidRDefault="0031524F" w:rsidP="008C554D"/>
        </w:tc>
        <w:tc>
          <w:tcPr>
            <w:tcW w:w="3005" w:type="dxa"/>
          </w:tcPr>
          <w:p w:rsidR="0031524F" w:rsidRPr="0031524F" w:rsidRDefault="0031524F" w:rsidP="008C554D">
            <w:r w:rsidRPr="0031524F">
              <w:t>Estimated price</w:t>
            </w:r>
          </w:p>
        </w:tc>
        <w:tc>
          <w:tcPr>
            <w:tcW w:w="3006" w:type="dxa"/>
          </w:tcPr>
          <w:p w:rsidR="0031524F" w:rsidRPr="0031524F" w:rsidRDefault="0031524F" w:rsidP="008C554D">
            <w:r w:rsidRPr="0031524F">
              <w:t>Standard error</w:t>
            </w:r>
          </w:p>
        </w:tc>
      </w:tr>
      <w:tr w:rsidR="0031524F" w:rsidRPr="0031524F" w:rsidTr="0031524F">
        <w:tc>
          <w:tcPr>
            <w:tcW w:w="3005" w:type="dxa"/>
          </w:tcPr>
          <w:p w:rsidR="0031524F" w:rsidRPr="0031524F" w:rsidRDefault="0031524F" w:rsidP="008C554D">
            <w:r w:rsidRPr="0031524F">
              <w:t xml:space="preserve">VG Diff Gamma </w:t>
            </w:r>
          </w:p>
        </w:tc>
        <w:tc>
          <w:tcPr>
            <w:tcW w:w="3005" w:type="dxa"/>
          </w:tcPr>
          <w:p w:rsidR="0031524F" w:rsidRPr="0031524F" w:rsidRDefault="0031524F" w:rsidP="008C554D">
            <w:r w:rsidRPr="0031524F">
              <w:t>0.025807280</w:t>
            </w:r>
          </w:p>
        </w:tc>
        <w:tc>
          <w:tcPr>
            <w:tcW w:w="3006" w:type="dxa"/>
          </w:tcPr>
          <w:p w:rsidR="0031524F" w:rsidRPr="0031524F" w:rsidRDefault="0031524F" w:rsidP="008C554D">
            <w:r w:rsidRPr="0031524F">
              <w:t>0.001583751</w:t>
            </w:r>
          </w:p>
        </w:tc>
      </w:tr>
      <w:tr w:rsidR="0031524F" w:rsidTr="0031524F">
        <w:tc>
          <w:tcPr>
            <w:tcW w:w="3005" w:type="dxa"/>
          </w:tcPr>
          <w:p w:rsidR="0031524F" w:rsidRPr="0031524F" w:rsidRDefault="0031524F" w:rsidP="008C554D">
            <w:r w:rsidRPr="0031524F">
              <w:t>VG Importance Sampling</w:t>
            </w:r>
          </w:p>
        </w:tc>
        <w:tc>
          <w:tcPr>
            <w:tcW w:w="3005" w:type="dxa"/>
          </w:tcPr>
          <w:p w:rsidR="0031524F" w:rsidRPr="0031524F" w:rsidRDefault="0031524F" w:rsidP="008C554D">
            <w:r w:rsidRPr="0031524F">
              <w:t>0.0237484936</w:t>
            </w:r>
          </w:p>
        </w:tc>
        <w:tc>
          <w:tcPr>
            <w:tcW w:w="3006" w:type="dxa"/>
          </w:tcPr>
          <w:p w:rsidR="0031524F" w:rsidRDefault="0031524F" w:rsidP="008C554D">
            <w:pPr>
              <w:rPr>
                <w:rFonts w:hint="eastAsia"/>
              </w:rPr>
            </w:pPr>
            <w:r w:rsidRPr="0031524F">
              <w:t>0.0005620372</w:t>
            </w:r>
          </w:p>
        </w:tc>
      </w:tr>
    </w:tbl>
    <w:p w:rsidR="0031524F" w:rsidRDefault="0031524F" w:rsidP="0031524F"/>
    <w:p w:rsidR="0031524F" w:rsidRDefault="00B61332" w:rsidP="0031524F">
      <w:r>
        <w:rPr>
          <w:rFonts w:hint="eastAsia"/>
        </w:rPr>
        <w:t xml:space="preserve">As we can see in the table, there is indeed some variance reduction for the price, but is not very significant. </w:t>
      </w:r>
      <w:r>
        <w:t>The reason might be the selection of new probability measure. We are still working on how to make an efficient selection of new measure parameters</w:t>
      </w:r>
      <w:r w:rsidRPr="003C2EC4">
        <w:rPr>
          <w:position w:val="-10"/>
        </w:rPr>
        <w:object w:dxaOrig="820" w:dyaOrig="300">
          <v:shape id="_x0000_i1040" type="#_x0000_t75" style="width:41.25pt;height:15pt" o:ole="">
            <v:imagedata r:id="rId16" o:title=""/>
          </v:shape>
          <o:OLEObject Type="Embed" ProgID="Equation.3" ShapeID="_x0000_i1040" DrawAspect="Content" ObjectID="_1463322052" r:id="rId32"/>
        </w:object>
      </w:r>
      <w:r>
        <w:t>.</w:t>
      </w:r>
      <w:bookmarkStart w:id="0" w:name="_GoBack"/>
      <w:bookmarkEnd w:id="0"/>
    </w:p>
    <w:p w:rsidR="0031524F" w:rsidRDefault="0031524F" w:rsidP="0031524F">
      <w:pPr>
        <w:rPr>
          <w:rFonts w:hint="eastAsia"/>
        </w:rPr>
      </w:pPr>
    </w:p>
    <w:sectPr w:rsidR="0031524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CD"/>
    <w:rsid w:val="000E74CC"/>
    <w:rsid w:val="0031524F"/>
    <w:rsid w:val="006D17B7"/>
    <w:rsid w:val="007A48CD"/>
    <w:rsid w:val="008C531D"/>
    <w:rsid w:val="00933FA7"/>
    <w:rsid w:val="00B61332"/>
    <w:rsid w:val="00F7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63512-E1F2-4F32-BEED-21A1800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3</cp:revision>
  <dcterms:created xsi:type="dcterms:W3CDTF">2014-06-03T23:41:00Z</dcterms:created>
  <dcterms:modified xsi:type="dcterms:W3CDTF">2014-06-04T00:33:00Z</dcterms:modified>
</cp:coreProperties>
</file>