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02" w:rsidRPr="00BC3783" w:rsidRDefault="00BC3783" w:rsidP="00BC3783">
      <w:pPr>
        <w:pStyle w:val="Title"/>
        <w:jc w:val="center"/>
        <w:rPr>
          <w:b/>
        </w:rPr>
      </w:pPr>
      <w:r w:rsidRPr="00BC3783">
        <w:rPr>
          <w:b/>
        </w:rPr>
        <w:t>Variance Gamma</w:t>
      </w:r>
    </w:p>
    <w:p w:rsidR="00BC3783" w:rsidRDefault="00BC3783" w:rsidP="00BC3783">
      <w:pPr>
        <w:widowControl w:val="0"/>
        <w:spacing w:afterLines="50" w:after="120" w:line="240" w:lineRule="auto"/>
        <w:jc w:val="center"/>
        <w:rPr>
          <w:rFonts w:eastAsiaTheme="minorEastAsia"/>
          <w:kern w:val="2"/>
          <w:lang w:eastAsia="zh-CN"/>
        </w:rPr>
      </w:pPr>
      <w:r w:rsidRPr="00BC3783">
        <w:rPr>
          <w:rFonts w:eastAsiaTheme="minorEastAsia"/>
          <w:kern w:val="2"/>
          <w:lang w:eastAsia="zh-CN"/>
        </w:rPr>
        <w:t>Rohit Arora Ying Wang</w:t>
      </w:r>
    </w:p>
    <w:p w:rsidR="00BC3783" w:rsidRDefault="00BC3783" w:rsidP="00BC3783">
      <w:pPr>
        <w:widowControl w:val="0"/>
        <w:spacing w:afterLines="50" w:after="120" w:line="240" w:lineRule="auto"/>
        <w:jc w:val="center"/>
        <w:rPr>
          <w:rFonts w:eastAsiaTheme="minorEastAsia"/>
          <w:kern w:val="2"/>
          <w:lang w:eastAsia="zh-CN"/>
        </w:rPr>
      </w:pPr>
      <w:r>
        <w:rPr>
          <w:rFonts w:eastAsiaTheme="minorEastAsia"/>
          <w:kern w:val="2"/>
          <w:lang w:eastAsia="zh-CN"/>
        </w:rPr>
        <w:t>June 3, 2014</w:t>
      </w:r>
    </w:p>
    <w:p w:rsidR="003D13A5" w:rsidRDefault="003D13A5" w:rsidP="00BC3783">
      <w:pPr>
        <w:widowControl w:val="0"/>
        <w:spacing w:afterLines="50" w:after="120" w:line="240" w:lineRule="auto"/>
        <w:jc w:val="center"/>
        <w:rPr>
          <w:rFonts w:eastAsiaTheme="minorEastAsia"/>
          <w:kern w:val="2"/>
          <w:lang w:eastAsia="zh-CN"/>
        </w:rPr>
      </w:pPr>
    </w:p>
    <w:p w:rsidR="0086227B" w:rsidRDefault="0086227B" w:rsidP="00BC3783">
      <w:pPr>
        <w:widowControl w:val="0"/>
        <w:spacing w:afterLines="50" w:after="120" w:line="240" w:lineRule="auto"/>
        <w:jc w:val="center"/>
        <w:rPr>
          <w:rFonts w:eastAsiaTheme="minorEastAsia"/>
          <w:kern w:val="2"/>
          <w:lang w:eastAsia="zh-CN"/>
        </w:rPr>
      </w:pPr>
    </w:p>
    <w:p w:rsidR="003D13A5" w:rsidRDefault="003D13A5" w:rsidP="003D13A5">
      <w:pPr>
        <w:widowControl w:val="0"/>
        <w:spacing w:afterLines="50" w:after="120" w:line="240" w:lineRule="auto"/>
        <w:rPr>
          <w:rFonts w:eastAsiaTheme="minorEastAsia"/>
          <w:b/>
          <w:kern w:val="2"/>
          <w:lang w:eastAsia="zh-CN"/>
        </w:rPr>
      </w:pPr>
      <w:r w:rsidRPr="003A59F0">
        <w:rPr>
          <w:rFonts w:eastAsiaTheme="minorEastAsia"/>
          <w:b/>
          <w:kern w:val="2"/>
          <w:lang w:eastAsia="zh-CN"/>
        </w:rPr>
        <w:t>Abstract:</w:t>
      </w:r>
    </w:p>
    <w:p w:rsidR="001055DB" w:rsidRDefault="003876FA" w:rsidP="001055DB">
      <w:pPr>
        <w:widowControl w:val="0"/>
        <w:spacing w:afterLines="50" w:after="120" w:line="240" w:lineRule="auto"/>
        <w:jc w:val="both"/>
        <w:rPr>
          <w:rFonts w:eastAsiaTheme="minorEastAsia"/>
          <w:kern w:val="2"/>
          <w:lang w:eastAsia="zh-CN"/>
        </w:rPr>
      </w:pPr>
      <w:r>
        <w:rPr>
          <w:rFonts w:eastAsiaTheme="minorEastAsia"/>
          <w:kern w:val="2"/>
          <w:lang w:eastAsia="zh-CN"/>
        </w:rPr>
        <w:t xml:space="preserve">We examine Monte Carlo methods for simulation of Variance Gamma process. </w:t>
      </w:r>
      <w:r w:rsidR="001474F5">
        <w:rPr>
          <w:rFonts w:eastAsiaTheme="minorEastAsia"/>
          <w:kern w:val="2"/>
          <w:lang w:eastAsia="zh-CN"/>
        </w:rPr>
        <w:t xml:space="preserve">We implement algorithms for fitting Variance Gamma density, distribution and quantile functions. We use these to test the empirical evidence of non-normality in financial data. </w:t>
      </w:r>
      <w:r>
        <w:rPr>
          <w:rFonts w:eastAsiaTheme="minorEastAsia"/>
          <w:kern w:val="2"/>
          <w:lang w:eastAsia="zh-CN"/>
        </w:rPr>
        <w:t xml:space="preserve">We </w:t>
      </w:r>
      <w:r w:rsidR="0028502B">
        <w:rPr>
          <w:rFonts w:eastAsiaTheme="minorEastAsia"/>
          <w:kern w:val="2"/>
          <w:lang w:eastAsia="zh-CN"/>
        </w:rPr>
        <w:t>develop</w:t>
      </w:r>
      <w:r>
        <w:rPr>
          <w:rFonts w:eastAsiaTheme="minorEastAsia"/>
          <w:kern w:val="2"/>
          <w:lang w:eastAsia="zh-CN"/>
        </w:rPr>
        <w:t xml:space="preserve"> algorithms for pricing European options and geometric Asian options where the underlying evolves as a Variance Gamma process </w:t>
      </w:r>
      <w:r w:rsidR="00D8304A">
        <w:rPr>
          <w:rFonts w:eastAsiaTheme="minorEastAsia"/>
          <w:kern w:val="2"/>
          <w:lang w:eastAsia="zh-CN"/>
        </w:rPr>
        <w:t xml:space="preserve">using sequential Monte Carlo methods and benchmark </w:t>
      </w:r>
      <w:r w:rsidR="00596D4D">
        <w:rPr>
          <w:rFonts w:eastAsiaTheme="minorEastAsia"/>
          <w:kern w:val="2"/>
          <w:lang w:eastAsia="zh-CN"/>
        </w:rPr>
        <w:t>our</w:t>
      </w:r>
      <w:r w:rsidR="00D8304A">
        <w:rPr>
          <w:rFonts w:eastAsiaTheme="minorEastAsia"/>
          <w:kern w:val="2"/>
          <w:lang w:eastAsia="zh-CN"/>
        </w:rPr>
        <w:t xml:space="preserve"> price against</w:t>
      </w:r>
      <w:r w:rsidR="00FF6621">
        <w:rPr>
          <w:rFonts w:eastAsiaTheme="minorEastAsia"/>
          <w:kern w:val="2"/>
          <w:lang w:eastAsia="zh-CN"/>
        </w:rPr>
        <w:t xml:space="preserve"> </w:t>
      </w:r>
      <w:r w:rsidR="00D8304A">
        <w:rPr>
          <w:rFonts w:eastAsiaTheme="minorEastAsia"/>
          <w:kern w:val="2"/>
          <w:lang w:eastAsia="zh-CN"/>
        </w:rPr>
        <w:t xml:space="preserve">prices from </w:t>
      </w:r>
      <w:r w:rsidR="006A650C">
        <w:rPr>
          <w:rFonts w:eastAsiaTheme="minorEastAsia"/>
          <w:kern w:val="2"/>
          <w:lang w:eastAsia="zh-CN"/>
        </w:rPr>
        <w:t>Fourier transform techniqu</w:t>
      </w:r>
      <w:r w:rsidR="00FF6621">
        <w:rPr>
          <w:rFonts w:eastAsiaTheme="minorEastAsia"/>
          <w:kern w:val="2"/>
          <w:lang w:eastAsia="zh-CN"/>
        </w:rPr>
        <w:t xml:space="preserve">es </w:t>
      </w:r>
      <w:r w:rsidR="00D8304A">
        <w:rPr>
          <w:rFonts w:eastAsiaTheme="minorEastAsia"/>
          <w:kern w:val="2"/>
          <w:lang w:eastAsia="zh-CN"/>
        </w:rPr>
        <w:t>developed in papers</w:t>
      </w:r>
      <w:r w:rsidR="00FF6621">
        <w:rPr>
          <w:rFonts w:eastAsiaTheme="minorEastAsia"/>
          <w:kern w:val="2"/>
          <w:lang w:eastAsia="zh-CN"/>
        </w:rPr>
        <w:t xml:space="preserve"> </w:t>
      </w:r>
      <w:r w:rsidR="00D8304A">
        <w:rPr>
          <w:rFonts w:eastAsiaTheme="minorEastAsia"/>
          <w:kern w:val="2"/>
          <w:lang w:eastAsia="zh-CN"/>
        </w:rPr>
        <w:t>based on Variance Gamma process</w:t>
      </w:r>
      <w:r w:rsidR="00FF6621">
        <w:rPr>
          <w:rFonts w:eastAsiaTheme="minorEastAsia"/>
          <w:kern w:val="2"/>
          <w:lang w:eastAsia="zh-CN"/>
        </w:rPr>
        <w:t xml:space="preserve">. </w:t>
      </w:r>
      <w:r w:rsidR="0086227B">
        <w:rPr>
          <w:rFonts w:eastAsiaTheme="minorEastAsia"/>
          <w:kern w:val="2"/>
          <w:lang w:eastAsia="zh-CN"/>
        </w:rPr>
        <w:t xml:space="preserve">To reduce variance in our estimates we examine </w:t>
      </w:r>
      <w:r w:rsidR="0041649A">
        <w:rPr>
          <w:rFonts w:eastAsiaTheme="minorEastAsia"/>
          <w:kern w:val="2"/>
          <w:lang w:eastAsia="zh-CN"/>
        </w:rPr>
        <w:t xml:space="preserve">Control Variate, </w:t>
      </w:r>
      <w:r w:rsidR="00596D4D">
        <w:rPr>
          <w:rFonts w:eastAsiaTheme="minorEastAsia"/>
          <w:kern w:val="2"/>
          <w:lang w:eastAsia="zh-CN"/>
        </w:rPr>
        <w:t xml:space="preserve">Importance sampling </w:t>
      </w:r>
      <w:r w:rsidR="0041649A">
        <w:rPr>
          <w:rFonts w:eastAsiaTheme="minorEastAsia"/>
          <w:kern w:val="2"/>
          <w:lang w:eastAsia="zh-CN"/>
        </w:rPr>
        <w:t>B</w:t>
      </w:r>
      <w:r w:rsidR="006B1646">
        <w:rPr>
          <w:rFonts w:eastAsiaTheme="minorEastAsia"/>
          <w:kern w:val="2"/>
          <w:lang w:eastAsia="zh-CN"/>
        </w:rPr>
        <w:t xml:space="preserve">ridge sampling </w:t>
      </w:r>
      <w:r w:rsidR="0041649A">
        <w:rPr>
          <w:rFonts w:eastAsiaTheme="minorEastAsia"/>
          <w:kern w:val="2"/>
          <w:lang w:eastAsia="zh-CN"/>
        </w:rPr>
        <w:t xml:space="preserve">techniques </w:t>
      </w:r>
      <w:r w:rsidR="006B1646">
        <w:rPr>
          <w:rFonts w:eastAsiaTheme="minorEastAsia"/>
          <w:kern w:val="2"/>
          <w:lang w:eastAsia="zh-CN"/>
        </w:rPr>
        <w:t>for Asian option</w:t>
      </w:r>
      <w:r w:rsidR="00B9704E">
        <w:rPr>
          <w:rFonts w:eastAsiaTheme="minorEastAsia"/>
          <w:kern w:val="2"/>
          <w:lang w:eastAsia="zh-CN"/>
        </w:rPr>
        <w:t>s.</w:t>
      </w:r>
      <w:r w:rsidR="0024147C">
        <w:rPr>
          <w:rFonts w:eastAsiaTheme="minorEastAsia"/>
          <w:kern w:val="2"/>
          <w:lang w:eastAsia="zh-CN"/>
        </w:rPr>
        <w:t xml:space="preserve"> Finally we use pathwise estimation to develop Greeks for European options.</w:t>
      </w:r>
    </w:p>
    <w:p w:rsidR="00911323" w:rsidRPr="00B90932" w:rsidRDefault="00B90932" w:rsidP="001055DB">
      <w:pPr>
        <w:tabs>
          <w:tab w:val="left" w:pos="6475"/>
        </w:tabs>
        <w:rPr>
          <w:rFonts w:eastAsiaTheme="minorEastAsia"/>
          <w:kern w:val="2"/>
          <w:lang w:eastAsia="zh-CN"/>
        </w:rPr>
      </w:pPr>
      <w:r w:rsidRPr="00B90932">
        <w:rPr>
          <w:rFonts w:eastAsiaTheme="minorEastAsia"/>
          <w:kern w:val="2"/>
          <w:lang w:eastAsia="zh-CN"/>
        </w:rPr>
        <w:t>The paper is organized as follows. In section 1 we motivate the need for Variance Gamma process. In section 2 we briefly describe the notation and results used in the paper. In section 3 we present the algorithms developed and finally we present the results.</w:t>
      </w:r>
    </w:p>
    <w:p w:rsidR="00911323" w:rsidRDefault="00911323" w:rsidP="001055DB">
      <w:pPr>
        <w:tabs>
          <w:tab w:val="left" w:pos="6475"/>
        </w:tabs>
        <w:rPr>
          <w:rFonts w:eastAsiaTheme="minorEastAsia"/>
          <w:lang w:eastAsia="zh-CN"/>
        </w:rPr>
      </w:pPr>
    </w:p>
    <w:p w:rsidR="003D66AE" w:rsidRPr="00F21955" w:rsidRDefault="00911323" w:rsidP="00F21955">
      <w:pPr>
        <w:pStyle w:val="ListParagraph"/>
        <w:numPr>
          <w:ilvl w:val="0"/>
          <w:numId w:val="1"/>
        </w:numPr>
        <w:tabs>
          <w:tab w:val="left" w:pos="6475"/>
        </w:tabs>
        <w:spacing w:after="0" w:line="360" w:lineRule="auto"/>
        <w:rPr>
          <w:rFonts w:eastAsiaTheme="minorEastAsia"/>
          <w:b/>
          <w:kern w:val="2"/>
          <w:lang w:eastAsia="zh-CN"/>
        </w:rPr>
      </w:pPr>
      <w:r w:rsidRPr="00F21955">
        <w:rPr>
          <w:rFonts w:eastAsiaTheme="minorEastAsia"/>
          <w:b/>
          <w:kern w:val="2"/>
          <w:lang w:eastAsia="zh-CN"/>
        </w:rPr>
        <w:t>Introduction</w:t>
      </w:r>
    </w:p>
    <w:p w:rsidR="00906C27" w:rsidRDefault="00906C27" w:rsidP="00906C27">
      <w:pPr>
        <w:pStyle w:val="ListParagraph"/>
        <w:spacing w:afterLines="50" w:after="120"/>
        <w:ind w:left="0"/>
        <w:jc w:val="both"/>
      </w:pPr>
      <w:r>
        <w:t>Black-Scholes model for option pricing assumes that the underlying stock price process is log-normally distributed. However, implied stock price density suggests fat tail and skewed behavior. To counter this problem researchers have proposed Variance Gamma distribution as an underlying model for evolution of stock price process.</w:t>
      </w:r>
    </w:p>
    <w:p w:rsidR="00DA4DE0" w:rsidRDefault="00DA4DE0" w:rsidP="00906C27">
      <w:pPr>
        <w:pStyle w:val="ListParagraph"/>
        <w:spacing w:afterLines="50" w:after="120"/>
        <w:ind w:left="0"/>
        <w:jc w:val="both"/>
      </w:pPr>
    </w:p>
    <w:p w:rsidR="00E20527" w:rsidRDefault="00E20527" w:rsidP="00906C27">
      <w:pPr>
        <w:pStyle w:val="ListParagraph"/>
        <w:spacing w:afterLines="50" w:after="120"/>
        <w:ind w:left="0"/>
        <w:jc w:val="both"/>
      </w:pPr>
      <w:r>
        <w:t xml:space="preserve">We developed functionality to fit a </w:t>
      </w:r>
      <w:r w:rsidRPr="00E20527">
        <w:rPr>
          <w:position w:val="-16"/>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pt;height:22pt" o:ole="">
            <v:imagedata r:id="rId5" o:title=""/>
          </v:shape>
          <o:OLEObject Type="Embed" ProgID="Equation.DSMT4" ShapeID="_x0000_i1027" DrawAspect="Content" ObjectID="_1463321205" r:id="rId6"/>
        </w:object>
      </w:r>
      <w:r>
        <w:t xml:space="preserve">  density to data by optimizing log-likelihood. Since we do not have a closed form solution for the density we use the following result</w:t>
      </w:r>
    </w:p>
    <w:p w:rsidR="00E20527" w:rsidRDefault="00E20527" w:rsidP="00E20527">
      <w:pPr>
        <w:pStyle w:val="ListParagraph"/>
        <w:spacing w:afterLines="50" w:after="120"/>
        <w:ind w:left="2880"/>
        <w:jc w:val="both"/>
      </w:pPr>
      <w:r w:rsidRPr="00E20527">
        <w:rPr>
          <w:position w:val="-26"/>
        </w:rPr>
        <w:object w:dxaOrig="5100" w:dyaOrig="720">
          <v:shape id="_x0000_i1028" type="#_x0000_t75" style="width:255pt;height:36pt" o:ole="">
            <v:imagedata r:id="rId7" o:title=""/>
          </v:shape>
          <o:OLEObject Type="Embed" ProgID="Equation.DSMT4" ShapeID="_x0000_i1028" DrawAspect="Content" ObjectID="_1463321206" r:id="rId8"/>
        </w:object>
      </w:r>
      <w:r>
        <w:t xml:space="preserve"> </w:t>
      </w:r>
    </w:p>
    <w:p w:rsidR="00AD7C52" w:rsidRDefault="00E20527" w:rsidP="00AD7C52">
      <w:pPr>
        <w:pStyle w:val="ListParagraph"/>
        <w:spacing w:afterLines="50" w:after="120"/>
        <w:ind w:left="0"/>
        <w:jc w:val="both"/>
      </w:pPr>
      <w:r>
        <w:t xml:space="preserve">Here </w:t>
      </w:r>
      <w:r w:rsidRPr="00E20527">
        <w:rPr>
          <w:position w:val="-4"/>
        </w:rPr>
        <w:object w:dxaOrig="240" w:dyaOrig="260">
          <v:shape id="_x0000_i1029" type="#_x0000_t75" style="width:12pt;height:13pt" o:ole="">
            <v:imagedata r:id="rId9" o:title=""/>
          </v:shape>
          <o:OLEObject Type="Embed" ProgID="Equation.DSMT4" ShapeID="_x0000_i1029" DrawAspect="Content" ObjectID="_1463321207" r:id="rId10"/>
        </w:object>
      </w:r>
      <w:r>
        <w:t xml:space="preserve"> is a characteristic function. We then use root finding to develop the quantile function.</w:t>
      </w:r>
      <w:r w:rsidR="00915989">
        <w:t xml:space="preserve"> We use these functions to </w:t>
      </w:r>
      <w:r w:rsidR="00AD7C52">
        <w:t>fit</w:t>
      </w:r>
      <w:r w:rsidR="00915989">
        <w:t xml:space="preserve"> real data</w:t>
      </w:r>
      <w:r w:rsidR="00AD7C52">
        <w:t xml:space="preserve"> and use the fitted density to construct the following graphs</w:t>
      </w:r>
      <w:r w:rsidR="00A11030">
        <w:t>.</w:t>
      </w:r>
    </w:p>
    <w:p w:rsidR="00AD7C52" w:rsidRDefault="00AD7C52" w:rsidP="00E20527">
      <w:pPr>
        <w:pStyle w:val="ListParagraph"/>
        <w:spacing w:afterLines="50" w:after="120"/>
        <w:ind w:left="2880"/>
        <w:jc w:val="both"/>
      </w:pPr>
    </w:p>
    <w:p w:rsidR="00AD7C52" w:rsidRDefault="00AD7C52" w:rsidP="00E20527">
      <w:pPr>
        <w:pStyle w:val="ListParagraph"/>
        <w:spacing w:afterLines="50" w:after="120"/>
        <w:ind w:left="2880"/>
        <w:jc w:val="both"/>
      </w:pPr>
    </w:p>
    <w:p w:rsidR="00AD7C52" w:rsidRDefault="00AD7C52" w:rsidP="00E20527">
      <w:pPr>
        <w:pStyle w:val="ListParagraph"/>
        <w:spacing w:afterLines="50" w:after="120"/>
        <w:ind w:left="2880"/>
        <w:jc w:val="both"/>
      </w:pPr>
    </w:p>
    <w:p w:rsidR="00955666" w:rsidRDefault="00DA4DE0" w:rsidP="00DA4DE0">
      <w:pPr>
        <w:pStyle w:val="ListParagraph"/>
        <w:tabs>
          <w:tab w:val="left" w:pos="6475"/>
        </w:tabs>
        <w:ind w:left="360"/>
        <w:jc w:val="right"/>
        <w:rPr>
          <w:rFonts w:eastAsiaTheme="minorEastAsia"/>
          <w:b/>
          <w:lang w:eastAsia="zh-CN"/>
        </w:rPr>
      </w:pPr>
      <w:r w:rsidRPr="00DA4DE0">
        <w:rPr>
          <w:rFonts w:eastAsiaTheme="minorEastAsia"/>
          <w:b/>
          <w:noProof/>
          <w:lang w:eastAsia="zh-CN"/>
        </w:rPr>
        <mc:AlternateContent>
          <mc:Choice Requires="wps">
            <w:drawing>
              <wp:anchor distT="45720" distB="45720" distL="114300" distR="114300" simplePos="0" relativeHeight="251659264" behindDoc="0" locked="0" layoutInCell="1" allowOverlap="1" wp14:anchorId="2288DFE7" wp14:editId="780275F5">
                <wp:simplePos x="0" y="0"/>
                <wp:positionH relativeFrom="margin">
                  <wp:align>left</wp:align>
                </wp:positionH>
                <wp:positionV relativeFrom="paragraph">
                  <wp:posOffset>417630</wp:posOffset>
                </wp:positionV>
                <wp:extent cx="2444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816" cy="1404620"/>
                        </a:xfrm>
                        <a:prstGeom prst="rect">
                          <a:avLst/>
                        </a:prstGeom>
                        <a:solidFill>
                          <a:srgbClr val="FFFFFF"/>
                        </a:solidFill>
                        <a:ln w="9525">
                          <a:noFill/>
                          <a:miter lim="800000"/>
                          <a:headEnd/>
                          <a:tailEnd/>
                        </a:ln>
                      </wps:spPr>
                      <wps:txbx>
                        <w:txbxContent>
                          <w:p w:rsidR="00DA4DE0" w:rsidRPr="00DA4DE0" w:rsidRDefault="00DA4DE0" w:rsidP="00AA35E6">
                            <w:pPr>
                              <w:jc w:val="both"/>
                              <w:rPr>
                                <w:sz w:val="20"/>
                                <w:szCs w:val="20"/>
                              </w:rPr>
                            </w:pPr>
                            <w:r w:rsidRPr="00DA4DE0">
                              <w:rPr>
                                <w:sz w:val="20"/>
                                <w:szCs w:val="20"/>
                              </w:rPr>
                              <w:t xml:space="preserve">The adjacent figure shows a QQ plot. By examining the tails we can </w:t>
                            </w:r>
                            <w:r w:rsidR="00AA35E6">
                              <w:rPr>
                                <w:sz w:val="20"/>
                                <w:szCs w:val="20"/>
                              </w:rPr>
                              <w:t>c</w:t>
                            </w:r>
                            <w:r w:rsidRPr="00DA4DE0">
                              <w:rPr>
                                <w:sz w:val="20"/>
                                <w:szCs w:val="20"/>
                              </w:rPr>
                              <w:t xml:space="preserve">onclude non-normality. We </w:t>
                            </w:r>
                            <w:r w:rsidR="00AA35E6">
                              <w:rPr>
                                <w:sz w:val="20"/>
                                <w:szCs w:val="20"/>
                              </w:rPr>
                              <w:t xml:space="preserve">can </w:t>
                            </w:r>
                            <w:r w:rsidRPr="00DA4DE0">
                              <w:rPr>
                                <w:sz w:val="20"/>
                                <w:szCs w:val="20"/>
                              </w:rPr>
                              <w:t xml:space="preserve">also </w:t>
                            </w:r>
                            <w:r w:rsidR="00AA35E6">
                              <w:rPr>
                                <w:sz w:val="20"/>
                                <w:szCs w:val="20"/>
                              </w:rPr>
                              <w:t xml:space="preserve">see </w:t>
                            </w:r>
                            <w:r w:rsidRPr="00DA4DE0">
                              <w:rPr>
                                <w:sz w:val="20"/>
                                <w:szCs w:val="20"/>
                              </w:rPr>
                              <w:t xml:space="preserve">deviation from typical behavior from the overlayed distributions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8DFE7" id="_x0000_t202" coordsize="21600,21600" o:spt="202" path="m,l,21600r21600,l21600,xe">
                <v:stroke joinstyle="miter"/>
                <v:path gradientshapeok="t" o:connecttype="rect"/>
              </v:shapetype>
              <v:shape id="Text Box 2" o:spid="_x0000_s1026" type="#_x0000_t202" style="position:absolute;left:0;text-align:left;margin-left:0;margin-top:32.9pt;width:19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" stroked="f">
                <v:textbox style="mso-fit-shape-to-text:t">
                  <w:txbxContent>
                    <w:p w:rsidR="00DA4DE0" w:rsidRPr="00DA4DE0" w:rsidRDefault="00DA4DE0" w:rsidP="00AA35E6">
                      <w:pPr>
                        <w:jc w:val="both"/>
                        <w:rPr>
                          <w:sz w:val="20"/>
                          <w:szCs w:val="20"/>
                        </w:rPr>
                      </w:pPr>
                      <w:r w:rsidRPr="00DA4DE0">
                        <w:rPr>
                          <w:sz w:val="20"/>
                          <w:szCs w:val="20"/>
                        </w:rPr>
                        <w:t xml:space="preserve">The adjacent figure shows a QQ plot. By examining the tails we can </w:t>
                      </w:r>
                      <w:r w:rsidR="00AA35E6">
                        <w:rPr>
                          <w:sz w:val="20"/>
                          <w:szCs w:val="20"/>
                        </w:rPr>
                        <w:t>c</w:t>
                      </w:r>
                      <w:r w:rsidRPr="00DA4DE0">
                        <w:rPr>
                          <w:sz w:val="20"/>
                          <w:szCs w:val="20"/>
                        </w:rPr>
                        <w:t xml:space="preserve">onclude non-normality. We </w:t>
                      </w:r>
                      <w:r w:rsidR="00AA35E6">
                        <w:rPr>
                          <w:sz w:val="20"/>
                          <w:szCs w:val="20"/>
                        </w:rPr>
                        <w:t xml:space="preserve">can </w:t>
                      </w:r>
                      <w:r w:rsidRPr="00DA4DE0">
                        <w:rPr>
                          <w:sz w:val="20"/>
                          <w:szCs w:val="20"/>
                        </w:rPr>
                        <w:t xml:space="preserve">also </w:t>
                      </w:r>
                      <w:r w:rsidR="00AA35E6">
                        <w:rPr>
                          <w:sz w:val="20"/>
                          <w:szCs w:val="20"/>
                        </w:rPr>
                        <w:t xml:space="preserve">see </w:t>
                      </w:r>
                      <w:r w:rsidRPr="00DA4DE0">
                        <w:rPr>
                          <w:sz w:val="20"/>
                          <w:szCs w:val="20"/>
                        </w:rPr>
                        <w:t xml:space="preserve">deviation from typical behavior from the overlayed distributions </w:t>
                      </w:r>
                    </w:p>
                  </w:txbxContent>
                </v:textbox>
                <w10:wrap type="square" anchorx="margin"/>
              </v:shape>
            </w:pict>
          </mc:Fallback>
        </mc:AlternateContent>
      </w:r>
      <w:r w:rsidRPr="00DA4DE0">
        <w:rPr>
          <w:rFonts w:eastAsiaTheme="minorEastAsia"/>
          <w:b/>
          <w:noProof/>
        </w:rPr>
        <w:drawing>
          <wp:inline distT="0" distB="0" distL="0" distR="0">
            <wp:extent cx="4542677" cy="2168892"/>
            <wp:effectExtent l="0" t="0" r="0" b="3175"/>
            <wp:docPr id="1" name="Picture 1" descr="C:\Users\SonaliAndRohit\Documents\GitHub\VG-MonteCarlo\plots\CDF plots and 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liAndRohit\Documents\GitHub\VG-MonteCarlo\plots\CDF plots and QQ 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8512" cy="2176452"/>
                    </a:xfrm>
                    <a:prstGeom prst="rect">
                      <a:avLst/>
                    </a:prstGeom>
                    <a:noFill/>
                    <a:ln>
                      <a:noFill/>
                    </a:ln>
                  </pic:spPr>
                </pic:pic>
              </a:graphicData>
            </a:graphic>
          </wp:inline>
        </w:drawing>
      </w:r>
    </w:p>
    <w:p w:rsidR="00AD7C52" w:rsidRDefault="00AD7C52" w:rsidP="00DA4DE0">
      <w:pPr>
        <w:pStyle w:val="ListParagraph"/>
        <w:tabs>
          <w:tab w:val="left" w:pos="6475"/>
        </w:tabs>
        <w:ind w:left="360"/>
        <w:jc w:val="right"/>
        <w:rPr>
          <w:rFonts w:eastAsiaTheme="minorEastAsia"/>
          <w:b/>
          <w:lang w:eastAsia="zh-CN"/>
        </w:rPr>
      </w:pPr>
    </w:p>
    <w:p w:rsidR="00AD7C52" w:rsidRPr="00DA4DE0" w:rsidRDefault="00AD7C52" w:rsidP="00DA4DE0">
      <w:pPr>
        <w:pStyle w:val="ListParagraph"/>
        <w:tabs>
          <w:tab w:val="left" w:pos="6475"/>
        </w:tabs>
        <w:ind w:left="360"/>
        <w:jc w:val="right"/>
        <w:rPr>
          <w:rFonts w:eastAsiaTheme="minorEastAsia"/>
          <w:b/>
          <w:lang w:eastAsia="zh-CN"/>
        </w:rPr>
      </w:pPr>
    </w:p>
    <w:p w:rsidR="00A500EB" w:rsidRPr="00F21955" w:rsidRDefault="0040167D" w:rsidP="00F21955">
      <w:pPr>
        <w:pStyle w:val="ListParagraph"/>
        <w:numPr>
          <w:ilvl w:val="0"/>
          <w:numId w:val="1"/>
        </w:numPr>
        <w:tabs>
          <w:tab w:val="left" w:pos="6475"/>
        </w:tabs>
        <w:spacing w:line="360" w:lineRule="auto"/>
        <w:rPr>
          <w:rFonts w:eastAsiaTheme="minorEastAsia"/>
          <w:lang w:eastAsia="zh-CN"/>
        </w:rPr>
      </w:pPr>
      <w:r w:rsidRPr="00F21955">
        <w:rPr>
          <w:rFonts w:eastAsiaTheme="minorEastAsia"/>
          <w:b/>
          <w:kern w:val="2"/>
          <w:lang w:eastAsia="zh-CN"/>
        </w:rPr>
        <w:t>Notation</w:t>
      </w:r>
    </w:p>
    <w:p w:rsidR="0030629F" w:rsidRPr="0058085F" w:rsidRDefault="0030629F" w:rsidP="0030629F">
      <w:pPr>
        <w:pStyle w:val="ListParagraph"/>
        <w:tabs>
          <w:tab w:val="left" w:pos="6475"/>
        </w:tabs>
        <w:ind w:left="360"/>
      </w:pPr>
      <w:r w:rsidRPr="0058085F">
        <w:t xml:space="preserve">A random variable which is distributed with respect a </w:t>
      </w:r>
      <w:r w:rsidR="0058085F" w:rsidRPr="0058085F">
        <w:t>Variance Gamma</w:t>
      </w:r>
      <w:r w:rsidR="0058085F">
        <w:t xml:space="preserve"> </w:t>
      </w:r>
      <w:r w:rsidRPr="0058085F">
        <w:t xml:space="preserve">distribution has </w:t>
      </w:r>
      <w:r w:rsidR="00B3706F" w:rsidRPr="0058085F">
        <w:t xml:space="preserve">the following </w:t>
      </w:r>
      <w:r w:rsidRPr="0058085F">
        <w:t>density</w:t>
      </w:r>
    </w:p>
    <w:p w:rsidR="00B3706F" w:rsidRDefault="0058085F" w:rsidP="0030629F">
      <w:pPr>
        <w:pStyle w:val="ListParagraph"/>
        <w:tabs>
          <w:tab w:val="left" w:pos="6475"/>
        </w:tabs>
        <w:ind w:left="360"/>
        <w:rPr>
          <w:rFonts w:ascii="NimbusRomNo9L" w:hAnsi="NimbusRomNo9L" w:cs="NimbusRomNo9L"/>
          <w:color w:val="000000"/>
          <w:sz w:val="20"/>
          <w:szCs w:val="20"/>
        </w:rPr>
      </w:pPr>
      <w:r w:rsidRPr="0058085F">
        <w:rPr>
          <w:rFonts w:ascii="NimbusRomNo9L" w:hAnsi="NimbusRomNo9L" w:cs="NimbusRomNo9L"/>
          <w:color w:val="000000"/>
          <w:position w:val="-68"/>
          <w:sz w:val="20"/>
          <w:szCs w:val="20"/>
        </w:rPr>
        <w:object w:dxaOrig="6180" w:dyaOrig="1480">
          <v:shape id="_x0000_i1025" type="#_x0000_t75" style="width:309pt;height:74pt" o:ole="">
            <v:imagedata r:id="rId12" o:title=""/>
          </v:shape>
          <o:OLEObject Type="Embed" ProgID="Equation.DSMT4" ShapeID="_x0000_i1025" DrawAspect="Content" ObjectID="_1463321208" r:id="rId13"/>
        </w:object>
      </w:r>
      <w:r>
        <w:rPr>
          <w:rFonts w:ascii="NimbusRomNo9L" w:hAnsi="NimbusRomNo9L" w:cs="NimbusRomNo9L"/>
          <w:color w:val="000000"/>
          <w:sz w:val="20"/>
          <w:szCs w:val="20"/>
        </w:rPr>
        <w:t xml:space="preserve"> </w:t>
      </w:r>
    </w:p>
    <w:p w:rsidR="0030629F" w:rsidRDefault="0058085F" w:rsidP="0030629F">
      <w:pPr>
        <w:pStyle w:val="ListParagraph"/>
        <w:tabs>
          <w:tab w:val="left" w:pos="6475"/>
        </w:tabs>
        <w:ind w:left="360"/>
      </w:pPr>
      <w:r w:rsidRPr="008135D2">
        <w:t xml:space="preserve">The above form shows that we can </w:t>
      </w:r>
      <w:r w:rsidR="008135D2">
        <w:t xml:space="preserve">also </w:t>
      </w:r>
      <w:r w:rsidRPr="008135D2">
        <w:t xml:space="preserve">obtain </w:t>
      </w:r>
      <w:r w:rsidR="008135D2" w:rsidRPr="008135D2">
        <w:t>the</w:t>
      </w:r>
      <w:r w:rsidR="008135D2">
        <w:t xml:space="preserve"> </w:t>
      </w:r>
      <w:r w:rsidR="008135D2" w:rsidRPr="008135D2">
        <w:t>density</w:t>
      </w:r>
      <w:r w:rsidR="008135D2">
        <w:t xml:space="preserve"> by conditioning a Normal density on Gamma density.</w:t>
      </w:r>
      <w:r w:rsidR="00DD5D35">
        <w:t xml:space="preserve"> We exploit this relationship to construct the density of a </w:t>
      </w:r>
      <w:r w:rsidR="00DD5D35" w:rsidRPr="0058085F">
        <w:t>Variance Gamma</w:t>
      </w:r>
      <w:r w:rsidR="00DD5D35">
        <w:t xml:space="preserve"> random variable.</w:t>
      </w:r>
      <w:r w:rsidR="00B326F5">
        <w:t xml:space="preserve"> </w:t>
      </w:r>
      <w:r w:rsidR="00B3706F" w:rsidRPr="008135D2">
        <w:t xml:space="preserve">Its </w:t>
      </w:r>
      <w:r w:rsidR="00B3706F" w:rsidRPr="008135D2">
        <w:t xml:space="preserve">characteristic function </w:t>
      </w:r>
      <w:r w:rsidR="00B3706F" w:rsidRPr="008135D2">
        <w:t>has the following form</w:t>
      </w:r>
    </w:p>
    <w:p w:rsidR="00B326F5" w:rsidRDefault="00B326F5" w:rsidP="00AD7C52">
      <w:pPr>
        <w:pStyle w:val="ListParagraph"/>
        <w:tabs>
          <w:tab w:val="left" w:pos="6475"/>
        </w:tabs>
        <w:ind w:left="360"/>
        <w:jc w:val="center"/>
      </w:pPr>
      <w:r w:rsidRPr="00B326F5">
        <w:rPr>
          <w:position w:val="-42"/>
        </w:rPr>
        <w:object w:dxaOrig="3879" w:dyaOrig="1060">
          <v:shape id="_x0000_i1026" type="#_x0000_t75" style="width:193.95pt;height:53pt" o:ole="">
            <v:imagedata r:id="rId14" o:title=""/>
          </v:shape>
          <o:OLEObject Type="Embed" ProgID="Equation.DSMT4" ShapeID="_x0000_i1026" DrawAspect="Content" ObjectID="_1463321209" r:id="rId15"/>
        </w:object>
      </w:r>
    </w:p>
    <w:p w:rsidR="00B326F5" w:rsidRDefault="00B326F5" w:rsidP="0030629F">
      <w:pPr>
        <w:pStyle w:val="ListParagraph"/>
        <w:tabs>
          <w:tab w:val="left" w:pos="6475"/>
        </w:tabs>
        <w:ind w:left="360"/>
      </w:pPr>
      <w:r>
        <w:t xml:space="preserve">The characteristic function severs an important role for pricing contracts using Fourier transform technique as suggested in </w:t>
      </w:r>
      <w:r w:rsidR="006031EB">
        <w:t>[4]</w:t>
      </w:r>
      <w:r w:rsidR="00AD7C52">
        <w:t>. We list the main result here</w:t>
      </w:r>
    </w:p>
    <w:p w:rsidR="00AD7C52" w:rsidRDefault="00AD7C52" w:rsidP="00AD7C52">
      <w:pPr>
        <w:pStyle w:val="ListParagraph"/>
        <w:tabs>
          <w:tab w:val="left" w:pos="6475"/>
        </w:tabs>
        <w:ind w:left="360"/>
        <w:jc w:val="center"/>
      </w:pPr>
      <w:r w:rsidRPr="00AD7C52">
        <w:rPr>
          <w:position w:val="-26"/>
        </w:rPr>
        <w:object w:dxaOrig="3780" w:dyaOrig="740">
          <v:shape id="_x0000_i1030" type="#_x0000_t75" style="width:189pt;height:37pt" o:ole="">
            <v:imagedata r:id="rId16" o:title=""/>
          </v:shape>
          <o:OLEObject Type="Embed" ProgID="Equation.DSMT4" ShapeID="_x0000_i1030" DrawAspect="Content" ObjectID="_1463321210" r:id="rId17"/>
        </w:object>
      </w:r>
      <w:r>
        <w:tab/>
      </w:r>
    </w:p>
    <w:p w:rsidR="00AD7C52" w:rsidRPr="008135D2" w:rsidRDefault="00AD7C52" w:rsidP="0030629F">
      <w:pPr>
        <w:pStyle w:val="ListParagraph"/>
        <w:tabs>
          <w:tab w:val="left" w:pos="6475"/>
        </w:tabs>
        <w:ind w:left="360"/>
      </w:pPr>
      <w:r>
        <w:t>where</w:t>
      </w:r>
      <w:r w:rsidRPr="00AD7C52">
        <w:rPr>
          <w:position w:val="-4"/>
        </w:rPr>
        <w:object w:dxaOrig="260" w:dyaOrig="260">
          <v:shape id="_x0000_i1031" type="#_x0000_t75" style="width:13pt;height:13pt" o:ole="">
            <v:imagedata r:id="rId18" o:title=""/>
          </v:shape>
          <o:OLEObject Type="Embed" ProgID="Equation.DSMT4" ShapeID="_x0000_i1031" DrawAspect="Content" ObjectID="_1463321211" r:id="rId19"/>
        </w:object>
      </w:r>
      <w:r>
        <w:t xml:space="preserve"> is the characteristic function of the risk-neutral distribution. We use this technique to price European Calls and puts with Variance Gamma as the underlying. We further use results from</w:t>
      </w:r>
      <w:r w:rsidR="005A037D">
        <w:t xml:space="preserve"> [5]</w:t>
      </w:r>
      <w:r w:rsidR="00E1752B">
        <w:t xml:space="preserve"> to price discretely monitored Geometric Asian options.</w:t>
      </w:r>
      <w:r>
        <w:t xml:space="preserve"> These prices ser</w:t>
      </w:r>
      <w:r w:rsidR="00E1752B">
        <w:t>ve as a benchmark for all our pricing results from Monte-Carlo simulation.</w:t>
      </w:r>
    </w:p>
    <w:p w:rsidR="0058085F" w:rsidRPr="00B3706F" w:rsidRDefault="0058085F" w:rsidP="0030629F">
      <w:pPr>
        <w:pStyle w:val="ListParagraph"/>
        <w:tabs>
          <w:tab w:val="left" w:pos="6475"/>
        </w:tabs>
        <w:ind w:left="360"/>
        <w:rPr>
          <w:rFonts w:ascii="NimbusRomNo9L" w:hAnsi="NimbusRomNo9L" w:cs="NimbusRomNo9L"/>
          <w:color w:val="000000"/>
          <w:sz w:val="20"/>
          <w:szCs w:val="20"/>
        </w:rPr>
      </w:pPr>
    </w:p>
    <w:p w:rsidR="0030629F" w:rsidRDefault="004D15FB" w:rsidP="004D15FB">
      <w:pPr>
        <w:pStyle w:val="ListParagraph"/>
        <w:numPr>
          <w:ilvl w:val="0"/>
          <w:numId w:val="1"/>
        </w:numPr>
        <w:tabs>
          <w:tab w:val="left" w:pos="6475"/>
        </w:tabs>
        <w:spacing w:line="360" w:lineRule="auto"/>
        <w:rPr>
          <w:rFonts w:eastAsiaTheme="minorEastAsia"/>
          <w:b/>
          <w:kern w:val="2"/>
          <w:lang w:eastAsia="zh-CN"/>
        </w:rPr>
      </w:pPr>
      <w:r w:rsidRPr="004D15FB">
        <w:rPr>
          <w:rFonts w:eastAsiaTheme="minorEastAsia"/>
          <w:b/>
          <w:kern w:val="2"/>
          <w:lang w:eastAsia="zh-CN"/>
        </w:rPr>
        <w:t>Methods</w:t>
      </w: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sidRPr="00DE613C">
        <w:rPr>
          <w:rFonts w:eastAsiaTheme="minorEastAsia"/>
          <w:kern w:val="2"/>
          <w:lang w:eastAsia="zh-CN"/>
        </w:rPr>
        <w:t xml:space="preserve">Simulation using </w:t>
      </w:r>
      <w:r>
        <w:rPr>
          <w:rFonts w:eastAsiaTheme="minorEastAsia"/>
          <w:kern w:val="2"/>
          <w:lang w:eastAsia="zh-CN"/>
        </w:rPr>
        <w:t>time changed Brownian motion</w:t>
      </w: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Importance Sampling</w:t>
      </w: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Control Variate</w:t>
      </w:r>
    </w:p>
    <w:p w:rsidR="00DE613C" w:rsidRDefault="00DE613C" w:rsidP="00DE613C">
      <w:pPr>
        <w:pStyle w:val="ListParagraph"/>
        <w:numPr>
          <w:ilvl w:val="1"/>
          <w:numId w:val="1"/>
        </w:numPr>
        <w:tabs>
          <w:tab w:val="left" w:pos="6475"/>
        </w:tabs>
        <w:spacing w:line="360" w:lineRule="auto"/>
        <w:rPr>
          <w:rFonts w:eastAsiaTheme="minorEastAsia"/>
          <w:kern w:val="2"/>
          <w:lang w:eastAsia="zh-CN"/>
        </w:rPr>
      </w:pPr>
      <w:r>
        <w:rPr>
          <w:rFonts w:eastAsiaTheme="minorEastAsia"/>
          <w:kern w:val="2"/>
          <w:lang w:eastAsia="zh-CN"/>
        </w:rPr>
        <w:t>Gamma Bridge Sampling</w:t>
      </w:r>
    </w:p>
    <w:p w:rsidR="00DE613C" w:rsidRPr="00DE613C" w:rsidRDefault="00DE613C" w:rsidP="00DE613C">
      <w:pPr>
        <w:pStyle w:val="ListParagraph"/>
        <w:tabs>
          <w:tab w:val="left" w:pos="6475"/>
        </w:tabs>
        <w:spacing w:line="360" w:lineRule="auto"/>
        <w:ind w:left="1080"/>
        <w:rPr>
          <w:rFonts w:eastAsiaTheme="minorEastAsia"/>
          <w:kern w:val="2"/>
          <w:lang w:eastAsia="zh-CN"/>
        </w:rPr>
      </w:pPr>
      <w:bookmarkStart w:id="0" w:name="_GoBack"/>
      <w:bookmarkEnd w:id="0"/>
    </w:p>
    <w:p w:rsidR="00B326F5" w:rsidRPr="00DA6800" w:rsidRDefault="00DA6800" w:rsidP="00DA6800">
      <w:pPr>
        <w:pStyle w:val="ListParagraph"/>
        <w:numPr>
          <w:ilvl w:val="0"/>
          <w:numId w:val="1"/>
        </w:numPr>
        <w:tabs>
          <w:tab w:val="left" w:pos="6475"/>
        </w:tabs>
        <w:spacing w:line="360" w:lineRule="auto"/>
        <w:rPr>
          <w:rFonts w:eastAsiaTheme="minorEastAsia"/>
          <w:b/>
          <w:kern w:val="2"/>
          <w:lang w:eastAsia="zh-CN"/>
        </w:rPr>
      </w:pPr>
      <w:r w:rsidRPr="00DA6800">
        <w:rPr>
          <w:rFonts w:eastAsiaTheme="minorEastAsia"/>
          <w:b/>
          <w:kern w:val="2"/>
          <w:lang w:eastAsia="zh-CN"/>
        </w:rPr>
        <w:t>Results</w:t>
      </w:r>
    </w:p>
    <w:p w:rsidR="00B326F5" w:rsidRDefault="00B326F5" w:rsidP="00B326F5">
      <w:pPr>
        <w:pStyle w:val="ListParagraph"/>
        <w:tabs>
          <w:tab w:val="left" w:pos="6475"/>
        </w:tabs>
        <w:ind w:left="360"/>
        <w:rPr>
          <w:rFonts w:eastAsiaTheme="minorEastAsia"/>
          <w:lang w:eastAsia="zh-CN"/>
        </w:rPr>
      </w:pPr>
    </w:p>
    <w:p w:rsidR="00B326F5" w:rsidRDefault="00B326F5" w:rsidP="00B326F5">
      <w:pPr>
        <w:pStyle w:val="ListParagraph"/>
        <w:tabs>
          <w:tab w:val="left" w:pos="6475"/>
        </w:tabs>
        <w:ind w:left="360"/>
        <w:rPr>
          <w:rFonts w:eastAsiaTheme="minorEastAsia"/>
          <w:lang w:eastAsia="zh-CN"/>
        </w:rPr>
      </w:pPr>
    </w:p>
    <w:p w:rsidR="00B326F5" w:rsidRPr="001D65FB" w:rsidRDefault="00B326F5" w:rsidP="00B326F5">
      <w:pPr>
        <w:pStyle w:val="Heading1"/>
        <w:rPr>
          <w:rFonts w:ascii="Arial" w:hAnsi="Arial" w:cs="Arial"/>
        </w:rPr>
      </w:pPr>
      <w:r w:rsidRPr="001D65FB">
        <w:rPr>
          <w:rFonts w:ascii="Arial" w:hAnsi="Arial" w:cs="Arial"/>
          <w:b/>
          <w:color w:val="auto"/>
        </w:rPr>
        <w:t>Reference</w:t>
      </w:r>
      <w:r>
        <w:rPr>
          <w:rFonts w:ascii="Arial" w:hAnsi="Arial" w:cs="Arial"/>
          <w:b/>
          <w:color w:val="auto"/>
        </w:rPr>
        <w:t>s</w:t>
      </w:r>
    </w:p>
    <w:p w:rsidR="00B326F5" w:rsidRPr="00524846" w:rsidRDefault="00B326F5" w:rsidP="00B326F5">
      <w:pPr>
        <w:pStyle w:val="ListParagraph"/>
        <w:widowControl w:val="0"/>
        <w:numPr>
          <w:ilvl w:val="0"/>
          <w:numId w:val="2"/>
        </w:numPr>
        <w:spacing w:afterLines="50" w:after="120" w:line="240" w:lineRule="auto"/>
        <w:contextualSpacing w:val="0"/>
        <w:jc w:val="both"/>
        <w:rPr>
          <w:noProof/>
        </w:rPr>
      </w:pPr>
      <w:r w:rsidRPr="00524846">
        <w:rPr>
          <w:noProof/>
        </w:rPr>
        <w:t>Madan, Dilip B.; Seneta, Eugene (1990). "The Variance Gamma (V.G.) Model for Share Market Returns". </w:t>
      </w:r>
      <w:hyperlink r:id="rId20" w:tooltip="Journal of Business" w:history="1">
        <w:r w:rsidRPr="00524846">
          <w:rPr>
            <w:noProof/>
          </w:rPr>
          <w:t>Journal of Business</w:t>
        </w:r>
      </w:hyperlink>
      <w:r w:rsidRPr="00524846">
        <w:rPr>
          <w:noProof/>
        </w:rPr>
        <w:t> 63 (4): 511–524</w:t>
      </w:r>
    </w:p>
    <w:p w:rsidR="00B326F5" w:rsidRDefault="00B326F5" w:rsidP="00B326F5">
      <w:pPr>
        <w:pStyle w:val="ListParagraph"/>
        <w:widowControl w:val="0"/>
        <w:numPr>
          <w:ilvl w:val="0"/>
          <w:numId w:val="2"/>
        </w:numPr>
        <w:spacing w:afterLines="50" w:after="120" w:line="240" w:lineRule="auto"/>
        <w:contextualSpacing w:val="0"/>
        <w:jc w:val="both"/>
        <w:rPr>
          <w:noProof/>
        </w:rPr>
      </w:pPr>
      <w:r w:rsidRPr="00EB44FF">
        <w:rPr>
          <w:noProof/>
        </w:rPr>
        <w:t xml:space="preserve">Fu, MichaelC. "Variance-Gamma and Monte Carlo." In </w:t>
      </w:r>
      <w:r w:rsidRPr="00F62C91">
        <w:rPr>
          <w:noProof/>
        </w:rPr>
        <w:t>Advances in Mathematical Finance</w:t>
      </w:r>
      <w:r w:rsidRPr="00EB44FF">
        <w:rPr>
          <w:noProof/>
        </w:rPr>
        <w:t>, edited by MichaelC Fu, RobertA Jarrow, Ju-YiJ Yen and RobertJ Elliott, 21-34: Birkhäuser Boston, 2007.</w:t>
      </w:r>
    </w:p>
    <w:p w:rsidR="00B326F5" w:rsidRDefault="00B326F5" w:rsidP="00B326F5">
      <w:pPr>
        <w:pStyle w:val="ListParagraph"/>
        <w:widowControl w:val="0"/>
        <w:numPr>
          <w:ilvl w:val="0"/>
          <w:numId w:val="2"/>
        </w:numPr>
        <w:spacing w:afterLines="50" w:after="120" w:line="240" w:lineRule="auto"/>
        <w:contextualSpacing w:val="0"/>
        <w:jc w:val="both"/>
        <w:rPr>
          <w:noProof/>
        </w:rPr>
      </w:pPr>
      <w:r w:rsidRPr="00F62C91">
        <w:rPr>
          <w:noProof/>
        </w:rPr>
        <w:t>Dilip Madan, Peter Carr, Eric Chang (1998). </w:t>
      </w:r>
      <w:hyperlink r:id="rId21" w:history="1">
        <w:r w:rsidRPr="00F62C91">
          <w:rPr>
            <w:noProof/>
          </w:rPr>
          <w:t>"The Variance Gamma Process and Option Pricing"</w:t>
        </w:r>
      </w:hyperlink>
      <w:r w:rsidRPr="00F62C91">
        <w:rPr>
          <w:noProof/>
        </w:rPr>
        <w:t>. European FinanceReview 2: 79–105</w:t>
      </w:r>
    </w:p>
    <w:p w:rsidR="006031EB" w:rsidRDefault="006031EB" w:rsidP="00B326F5">
      <w:pPr>
        <w:pStyle w:val="ListParagraph"/>
        <w:widowControl w:val="0"/>
        <w:numPr>
          <w:ilvl w:val="0"/>
          <w:numId w:val="2"/>
        </w:numPr>
        <w:spacing w:afterLines="50" w:after="120" w:line="240" w:lineRule="auto"/>
        <w:contextualSpacing w:val="0"/>
        <w:jc w:val="both"/>
        <w:rPr>
          <w:noProof/>
        </w:rPr>
      </w:pPr>
      <w:r w:rsidRPr="006031EB">
        <w:rPr>
          <w:noProof/>
        </w:rPr>
        <w:t>Carr, P., and Madan, D. (1999). "Option valuation using the fast Fourier transform"</w:t>
      </w:r>
      <w:r w:rsidR="00392715">
        <w:rPr>
          <w:noProof/>
        </w:rPr>
        <w:t>,</w:t>
      </w:r>
      <w:r w:rsidRPr="006031EB">
        <w:rPr>
          <w:noProof/>
        </w:rPr>
        <w:t> </w:t>
      </w:r>
      <w:r w:rsidRPr="006031EB">
        <w:rPr>
          <w:noProof/>
        </w:rPr>
        <w:t>The Journal of Computational Finance</w:t>
      </w:r>
      <w:r w:rsidRPr="006031EB">
        <w:rPr>
          <w:noProof/>
        </w:rPr>
        <w:t> </w:t>
      </w:r>
      <w:r w:rsidRPr="006031EB">
        <w:rPr>
          <w:noProof/>
        </w:rPr>
        <w:t>2(4), 61–73</w:t>
      </w:r>
    </w:p>
    <w:p w:rsidR="00AD7C52" w:rsidRDefault="00AD7C52" w:rsidP="00B326F5">
      <w:pPr>
        <w:pStyle w:val="ListParagraph"/>
        <w:widowControl w:val="0"/>
        <w:numPr>
          <w:ilvl w:val="0"/>
          <w:numId w:val="2"/>
        </w:numPr>
        <w:spacing w:afterLines="50" w:after="120" w:line="240" w:lineRule="auto"/>
        <w:contextualSpacing w:val="0"/>
        <w:jc w:val="both"/>
        <w:rPr>
          <w:noProof/>
        </w:rPr>
      </w:pPr>
      <w:proofErr w:type="spellStart"/>
      <w:r w:rsidRPr="00785B52">
        <w:rPr>
          <w:noProof/>
        </w:rPr>
        <w:t>Fusai</w:t>
      </w:r>
      <w:proofErr w:type="spellEnd"/>
      <w:r w:rsidRPr="00785B52">
        <w:rPr>
          <w:noProof/>
        </w:rPr>
        <w:t xml:space="preserve"> G, </w:t>
      </w:r>
      <w:proofErr w:type="spellStart"/>
      <w:r w:rsidRPr="00785B52">
        <w:rPr>
          <w:noProof/>
        </w:rPr>
        <w:t>Meucci</w:t>
      </w:r>
      <w:proofErr w:type="spellEnd"/>
      <w:r w:rsidRPr="00785B52">
        <w:rPr>
          <w:noProof/>
        </w:rPr>
        <w:t xml:space="preserve">, A. (2008), </w:t>
      </w:r>
      <w:r w:rsidR="00392715" w:rsidRPr="00785B52">
        <w:rPr>
          <w:noProof/>
        </w:rPr>
        <w:t>“</w:t>
      </w:r>
      <w:r w:rsidRPr="00785B52">
        <w:rPr>
          <w:noProof/>
        </w:rPr>
        <w:t>Pricing Discretely Monitored Asian Options under Levy Processes</w:t>
      </w:r>
      <w:r w:rsidR="00392715" w:rsidRPr="00785B52">
        <w:rPr>
          <w:noProof/>
        </w:rPr>
        <w:t>”</w:t>
      </w:r>
      <w:r w:rsidRPr="00785B52">
        <w:rPr>
          <w:noProof/>
        </w:rPr>
        <w:t>,</w:t>
      </w:r>
      <w:r w:rsidRPr="00785B52">
        <w:rPr>
          <w:noProof/>
        </w:rPr>
        <w:t xml:space="preserve"> Journal </w:t>
      </w:r>
      <w:r w:rsidRPr="00785B52">
        <w:rPr>
          <w:noProof/>
        </w:rPr>
        <w:lastRenderedPageBreak/>
        <w:t>of Banking and Finance</w:t>
      </w:r>
      <w:r w:rsidRPr="00785B52">
        <w:rPr>
          <w:noProof/>
        </w:rPr>
        <w:t>, 32(10), p.2076-2088</w:t>
      </w:r>
    </w:p>
    <w:p w:rsidR="00B326F5" w:rsidRPr="00911323" w:rsidRDefault="00B326F5" w:rsidP="00B326F5">
      <w:pPr>
        <w:pStyle w:val="ListParagraph"/>
        <w:tabs>
          <w:tab w:val="left" w:pos="6475"/>
        </w:tabs>
        <w:ind w:left="0"/>
        <w:rPr>
          <w:rFonts w:eastAsiaTheme="minorEastAsia"/>
          <w:lang w:eastAsia="zh-CN"/>
        </w:rPr>
      </w:pPr>
    </w:p>
    <w:sectPr w:rsidR="00B326F5" w:rsidRPr="00911323" w:rsidSect="00BC3783">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E2492"/>
    <w:multiLevelType w:val="hybridMultilevel"/>
    <w:tmpl w:val="AD0656E0"/>
    <w:lvl w:ilvl="0" w:tplc="63A65A32">
      <w:start w:val="1"/>
      <w:numFmt w:val="decimal"/>
      <w:pStyle w:val="EndNoteBibliography"/>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330F04"/>
    <w:multiLevelType w:val="hybridMultilevel"/>
    <w:tmpl w:val="C3646366"/>
    <w:lvl w:ilvl="0" w:tplc="AFC0EF22">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E6"/>
    <w:rsid w:val="00015628"/>
    <w:rsid w:val="00041C03"/>
    <w:rsid w:val="00052747"/>
    <w:rsid w:val="00082AA7"/>
    <w:rsid w:val="000A7414"/>
    <w:rsid w:val="000B2AEE"/>
    <w:rsid w:val="001055DB"/>
    <w:rsid w:val="001061B7"/>
    <w:rsid w:val="00115534"/>
    <w:rsid w:val="0012232F"/>
    <w:rsid w:val="00142523"/>
    <w:rsid w:val="001474F5"/>
    <w:rsid w:val="00170B3A"/>
    <w:rsid w:val="0017369E"/>
    <w:rsid w:val="001770E3"/>
    <w:rsid w:val="00181D3A"/>
    <w:rsid w:val="001829FB"/>
    <w:rsid w:val="001A257B"/>
    <w:rsid w:val="001B28F8"/>
    <w:rsid w:val="00205000"/>
    <w:rsid w:val="00210F9E"/>
    <w:rsid w:val="002212B4"/>
    <w:rsid w:val="00230B8C"/>
    <w:rsid w:val="00234C4F"/>
    <w:rsid w:val="0024147C"/>
    <w:rsid w:val="0026170A"/>
    <w:rsid w:val="0028346C"/>
    <w:rsid w:val="0028502B"/>
    <w:rsid w:val="0028585C"/>
    <w:rsid w:val="002B4475"/>
    <w:rsid w:val="002D1FDE"/>
    <w:rsid w:val="002E7848"/>
    <w:rsid w:val="00305249"/>
    <w:rsid w:val="0030629F"/>
    <w:rsid w:val="00317EB5"/>
    <w:rsid w:val="0032533A"/>
    <w:rsid w:val="0035767B"/>
    <w:rsid w:val="003876FA"/>
    <w:rsid w:val="00392715"/>
    <w:rsid w:val="00393BB4"/>
    <w:rsid w:val="003A59F0"/>
    <w:rsid w:val="003B69D0"/>
    <w:rsid w:val="003D13A5"/>
    <w:rsid w:val="003D66AE"/>
    <w:rsid w:val="003E175B"/>
    <w:rsid w:val="003E2D1D"/>
    <w:rsid w:val="003F2A16"/>
    <w:rsid w:val="00400FC2"/>
    <w:rsid w:val="0040167D"/>
    <w:rsid w:val="0041649A"/>
    <w:rsid w:val="00434694"/>
    <w:rsid w:val="004364C8"/>
    <w:rsid w:val="00440CF6"/>
    <w:rsid w:val="004762DC"/>
    <w:rsid w:val="00476447"/>
    <w:rsid w:val="004845EB"/>
    <w:rsid w:val="004961DD"/>
    <w:rsid w:val="004C2433"/>
    <w:rsid w:val="004C63B9"/>
    <w:rsid w:val="004D15FB"/>
    <w:rsid w:val="004F506F"/>
    <w:rsid w:val="00535CB1"/>
    <w:rsid w:val="0055302D"/>
    <w:rsid w:val="00574A21"/>
    <w:rsid w:val="0058085F"/>
    <w:rsid w:val="00596D4D"/>
    <w:rsid w:val="00597C72"/>
    <w:rsid w:val="005A037D"/>
    <w:rsid w:val="005D2C50"/>
    <w:rsid w:val="006031EB"/>
    <w:rsid w:val="00623620"/>
    <w:rsid w:val="00652E18"/>
    <w:rsid w:val="006A1B2A"/>
    <w:rsid w:val="006A650C"/>
    <w:rsid w:val="006B1646"/>
    <w:rsid w:val="006F0855"/>
    <w:rsid w:val="00703447"/>
    <w:rsid w:val="0071325D"/>
    <w:rsid w:val="007242BE"/>
    <w:rsid w:val="00733380"/>
    <w:rsid w:val="00752365"/>
    <w:rsid w:val="00776801"/>
    <w:rsid w:val="00782931"/>
    <w:rsid w:val="00785B52"/>
    <w:rsid w:val="00785CB0"/>
    <w:rsid w:val="00787435"/>
    <w:rsid w:val="007E0DC0"/>
    <w:rsid w:val="007F3F79"/>
    <w:rsid w:val="00801F01"/>
    <w:rsid w:val="008135D2"/>
    <w:rsid w:val="008314FE"/>
    <w:rsid w:val="00844A14"/>
    <w:rsid w:val="00856289"/>
    <w:rsid w:val="0086227B"/>
    <w:rsid w:val="008656C3"/>
    <w:rsid w:val="00873830"/>
    <w:rsid w:val="008821E6"/>
    <w:rsid w:val="008A4AC7"/>
    <w:rsid w:val="008B3802"/>
    <w:rsid w:val="0090085E"/>
    <w:rsid w:val="00900E1B"/>
    <w:rsid w:val="00906C27"/>
    <w:rsid w:val="009078D1"/>
    <w:rsid w:val="00911323"/>
    <w:rsid w:val="00915989"/>
    <w:rsid w:val="00922BAC"/>
    <w:rsid w:val="00940491"/>
    <w:rsid w:val="00942117"/>
    <w:rsid w:val="00955666"/>
    <w:rsid w:val="009766BB"/>
    <w:rsid w:val="00991C71"/>
    <w:rsid w:val="009B617F"/>
    <w:rsid w:val="009D7F42"/>
    <w:rsid w:val="009F268E"/>
    <w:rsid w:val="00A11030"/>
    <w:rsid w:val="00A43885"/>
    <w:rsid w:val="00A500EB"/>
    <w:rsid w:val="00A85EC7"/>
    <w:rsid w:val="00AA35E6"/>
    <w:rsid w:val="00AC3A03"/>
    <w:rsid w:val="00AD0D87"/>
    <w:rsid w:val="00AD7C52"/>
    <w:rsid w:val="00B00AC8"/>
    <w:rsid w:val="00B055BB"/>
    <w:rsid w:val="00B326F5"/>
    <w:rsid w:val="00B3706F"/>
    <w:rsid w:val="00B403A8"/>
    <w:rsid w:val="00B76A05"/>
    <w:rsid w:val="00B90932"/>
    <w:rsid w:val="00B9704E"/>
    <w:rsid w:val="00BC3783"/>
    <w:rsid w:val="00BF29D1"/>
    <w:rsid w:val="00C069F4"/>
    <w:rsid w:val="00C21C07"/>
    <w:rsid w:val="00C37ED2"/>
    <w:rsid w:val="00C46125"/>
    <w:rsid w:val="00C62E40"/>
    <w:rsid w:val="00C7156E"/>
    <w:rsid w:val="00C72F84"/>
    <w:rsid w:val="00C76B41"/>
    <w:rsid w:val="00C92707"/>
    <w:rsid w:val="00C9331F"/>
    <w:rsid w:val="00C955E7"/>
    <w:rsid w:val="00CC12F3"/>
    <w:rsid w:val="00CC374F"/>
    <w:rsid w:val="00CD5402"/>
    <w:rsid w:val="00CE4DDA"/>
    <w:rsid w:val="00D01D3B"/>
    <w:rsid w:val="00D03DB7"/>
    <w:rsid w:val="00D479AC"/>
    <w:rsid w:val="00D53F2B"/>
    <w:rsid w:val="00D62A54"/>
    <w:rsid w:val="00D63B29"/>
    <w:rsid w:val="00D64E11"/>
    <w:rsid w:val="00D732B2"/>
    <w:rsid w:val="00D747D9"/>
    <w:rsid w:val="00D8304A"/>
    <w:rsid w:val="00D949A6"/>
    <w:rsid w:val="00DA4DE0"/>
    <w:rsid w:val="00DA6800"/>
    <w:rsid w:val="00DD5D35"/>
    <w:rsid w:val="00DE613C"/>
    <w:rsid w:val="00E1752B"/>
    <w:rsid w:val="00E20527"/>
    <w:rsid w:val="00E3296E"/>
    <w:rsid w:val="00E55253"/>
    <w:rsid w:val="00E7486E"/>
    <w:rsid w:val="00E91832"/>
    <w:rsid w:val="00E932F4"/>
    <w:rsid w:val="00E947A7"/>
    <w:rsid w:val="00EF64D8"/>
    <w:rsid w:val="00EF6B76"/>
    <w:rsid w:val="00F20E7A"/>
    <w:rsid w:val="00F21955"/>
    <w:rsid w:val="00F610FE"/>
    <w:rsid w:val="00F62DD1"/>
    <w:rsid w:val="00F62E84"/>
    <w:rsid w:val="00FB3030"/>
    <w:rsid w:val="00FC1041"/>
    <w:rsid w:val="00FC1C19"/>
    <w:rsid w:val="00FC628B"/>
    <w:rsid w:val="00F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C9A9E-5018-464C-9E1C-DCF745B0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26F5"/>
    <w:pPr>
      <w:keepNext/>
      <w:keepLines/>
      <w:widowControl w:val="0"/>
      <w:spacing w:before="240" w:after="0" w:line="240" w:lineRule="auto"/>
      <w:jc w:val="both"/>
      <w:outlineLvl w:val="0"/>
    </w:pPr>
    <w:rPr>
      <w:rFonts w:asciiTheme="majorHAnsi" w:eastAsiaTheme="majorEastAsia" w:hAnsiTheme="majorHAnsi" w:cstheme="majorBidi"/>
      <w:color w:val="2E74B5" w:themeColor="accent1" w:themeShade="BF"/>
      <w:kern w:val="2"/>
      <w:sz w:val="32"/>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83"/>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911323"/>
    <w:pPr>
      <w:ind w:left="720"/>
      <w:contextualSpacing/>
    </w:pPr>
  </w:style>
  <w:style w:type="character" w:customStyle="1" w:styleId="ListParagraphChar">
    <w:name w:val="List Paragraph Char"/>
    <w:basedOn w:val="DefaultParagraphFont"/>
    <w:link w:val="ListParagraph"/>
    <w:uiPriority w:val="34"/>
    <w:rsid w:val="00906C27"/>
  </w:style>
  <w:style w:type="character" w:customStyle="1" w:styleId="Heading1Char">
    <w:name w:val="Heading 1 Char"/>
    <w:basedOn w:val="DefaultParagraphFont"/>
    <w:link w:val="Heading1"/>
    <w:uiPriority w:val="9"/>
    <w:rsid w:val="00B326F5"/>
    <w:rPr>
      <w:rFonts w:asciiTheme="majorHAnsi" w:eastAsiaTheme="majorEastAsia" w:hAnsiTheme="majorHAnsi" w:cstheme="majorBidi"/>
      <w:color w:val="2E74B5" w:themeColor="accent1" w:themeShade="BF"/>
      <w:kern w:val="2"/>
      <w:sz w:val="32"/>
      <w:szCs w:val="32"/>
      <w:lang w:eastAsia="zh-CN"/>
    </w:rPr>
  </w:style>
  <w:style w:type="paragraph" w:customStyle="1" w:styleId="EndNoteBibliography">
    <w:name w:val="EndNote Bibliography"/>
    <w:basedOn w:val="Normal"/>
    <w:rsid w:val="00B326F5"/>
    <w:pPr>
      <w:widowControl w:val="0"/>
      <w:numPr>
        <w:numId w:val="2"/>
      </w:numPr>
      <w:spacing w:after="0" w:line="240" w:lineRule="auto"/>
      <w:jc w:val="both"/>
    </w:pPr>
    <w:rPr>
      <w:rFonts w:ascii="Calibri" w:eastAsiaTheme="minorEastAsia" w:hAnsi="Calibri" w:cstheme="minorBidi"/>
      <w:noProof/>
      <w:kern w:val="2"/>
      <w:sz w:val="20"/>
      <w:szCs w:val="22"/>
      <w:lang w:eastAsia="zh-CN"/>
    </w:rPr>
  </w:style>
  <w:style w:type="character" w:customStyle="1" w:styleId="apple-converted-space">
    <w:name w:val="apple-converted-space"/>
    <w:basedOn w:val="DefaultParagraphFont"/>
    <w:rsid w:val="006031EB"/>
  </w:style>
  <w:style w:type="character" w:styleId="Strong">
    <w:name w:val="Strong"/>
    <w:basedOn w:val="DefaultParagraphFont"/>
    <w:uiPriority w:val="22"/>
    <w:qFormat/>
    <w:rsid w:val="00AD7C52"/>
    <w:rPr>
      <w:b/>
      <w:bCs/>
    </w:rPr>
  </w:style>
  <w:style w:type="character" w:styleId="Emphasis">
    <w:name w:val="Emphasis"/>
    <w:basedOn w:val="DefaultParagraphFont"/>
    <w:uiPriority w:val="20"/>
    <w:qFormat/>
    <w:rsid w:val="00AD7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hyperlink" Target="http://www.math.nyu.edu/research/carrp/papers/pdf/VGEFRpub.pdf" TargetMode="Externa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en.wikipedia.org/wiki/Journal_of_Business"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Arora</dc:creator>
  <cp:keywords/>
  <dc:description/>
  <cp:lastModifiedBy>Rohit Arora</cp:lastModifiedBy>
  <cp:revision>41</cp:revision>
  <dcterms:created xsi:type="dcterms:W3CDTF">2014-06-03T22:36:00Z</dcterms:created>
  <dcterms:modified xsi:type="dcterms:W3CDTF">2014-06-04T00:19:00Z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