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802" w:rsidRPr="00BC3783" w:rsidRDefault="00BC3783" w:rsidP="00BC3783">
      <w:pPr>
        <w:pStyle w:val="Title"/>
        <w:jc w:val="center"/>
        <w:rPr>
          <w:b/>
        </w:rPr>
      </w:pPr>
      <w:r w:rsidRPr="00BC3783">
        <w:rPr>
          <w:b/>
        </w:rPr>
        <w:t>Variance Gamma</w:t>
      </w:r>
    </w:p>
    <w:p w:rsidR="00BC3783" w:rsidRDefault="00BC3783" w:rsidP="00BC3783">
      <w:pPr>
        <w:widowControl w:val="0"/>
        <w:spacing w:afterLines="50" w:after="120" w:line="240" w:lineRule="auto"/>
        <w:jc w:val="center"/>
        <w:rPr>
          <w:rFonts w:eastAsiaTheme="minorEastAsia"/>
          <w:kern w:val="2"/>
          <w:lang w:eastAsia="zh-CN"/>
        </w:rPr>
      </w:pPr>
      <w:r w:rsidRPr="00BC3783">
        <w:rPr>
          <w:rFonts w:eastAsiaTheme="minorEastAsia"/>
          <w:kern w:val="2"/>
          <w:lang w:eastAsia="zh-CN"/>
        </w:rPr>
        <w:t>Rohit Arora Ying Wang</w:t>
      </w:r>
    </w:p>
    <w:p w:rsidR="00BC3783" w:rsidRDefault="00BC3783" w:rsidP="00BC3783">
      <w:pPr>
        <w:widowControl w:val="0"/>
        <w:spacing w:afterLines="50" w:after="120" w:line="240" w:lineRule="auto"/>
        <w:jc w:val="center"/>
        <w:rPr>
          <w:rFonts w:eastAsiaTheme="minorEastAsia"/>
          <w:kern w:val="2"/>
          <w:lang w:eastAsia="zh-CN"/>
        </w:rPr>
      </w:pPr>
      <w:r>
        <w:rPr>
          <w:rFonts w:eastAsiaTheme="minorEastAsia"/>
          <w:kern w:val="2"/>
          <w:lang w:eastAsia="zh-CN"/>
        </w:rPr>
        <w:t>June 3, 2014</w:t>
      </w:r>
    </w:p>
    <w:p w:rsidR="003D13A5" w:rsidRDefault="003D13A5" w:rsidP="00BC3783">
      <w:pPr>
        <w:widowControl w:val="0"/>
        <w:spacing w:afterLines="50" w:after="120" w:line="240" w:lineRule="auto"/>
        <w:jc w:val="center"/>
        <w:rPr>
          <w:rFonts w:eastAsiaTheme="minorEastAsia"/>
          <w:kern w:val="2"/>
          <w:lang w:eastAsia="zh-CN"/>
        </w:rPr>
      </w:pPr>
    </w:p>
    <w:p w:rsidR="0086227B" w:rsidRDefault="0086227B" w:rsidP="00BC3783">
      <w:pPr>
        <w:widowControl w:val="0"/>
        <w:spacing w:afterLines="50" w:after="120" w:line="240" w:lineRule="auto"/>
        <w:jc w:val="center"/>
        <w:rPr>
          <w:rFonts w:eastAsiaTheme="minorEastAsia"/>
          <w:kern w:val="2"/>
          <w:lang w:eastAsia="zh-CN"/>
        </w:rPr>
      </w:pPr>
    </w:p>
    <w:p w:rsidR="003D13A5" w:rsidRDefault="003D13A5" w:rsidP="003D13A5">
      <w:pPr>
        <w:widowControl w:val="0"/>
        <w:spacing w:afterLines="50" w:after="120" w:line="240" w:lineRule="auto"/>
        <w:rPr>
          <w:rFonts w:eastAsiaTheme="minorEastAsia"/>
          <w:b/>
          <w:kern w:val="2"/>
          <w:lang w:eastAsia="zh-CN"/>
        </w:rPr>
      </w:pPr>
      <w:r w:rsidRPr="003A59F0">
        <w:rPr>
          <w:rFonts w:eastAsiaTheme="minorEastAsia"/>
          <w:b/>
          <w:kern w:val="2"/>
          <w:lang w:eastAsia="zh-CN"/>
        </w:rPr>
        <w:t>Abstract:</w:t>
      </w:r>
    </w:p>
    <w:p w:rsidR="001055DB" w:rsidRDefault="003876FA" w:rsidP="001055DB">
      <w:pPr>
        <w:widowControl w:val="0"/>
        <w:spacing w:afterLines="50" w:after="120" w:line="240" w:lineRule="auto"/>
        <w:jc w:val="both"/>
        <w:rPr>
          <w:rFonts w:eastAsiaTheme="minorEastAsia"/>
          <w:kern w:val="2"/>
          <w:lang w:eastAsia="zh-CN"/>
        </w:rPr>
      </w:pPr>
      <w:r>
        <w:rPr>
          <w:rFonts w:eastAsiaTheme="minorEastAsia"/>
          <w:kern w:val="2"/>
          <w:lang w:eastAsia="zh-CN"/>
        </w:rPr>
        <w:t xml:space="preserve">We examine Monte Carlo methods for simulation of Variance Gamma process. </w:t>
      </w:r>
      <w:r w:rsidR="001474F5">
        <w:rPr>
          <w:rFonts w:eastAsiaTheme="minorEastAsia"/>
          <w:kern w:val="2"/>
          <w:lang w:eastAsia="zh-CN"/>
        </w:rPr>
        <w:t xml:space="preserve">We implement algorithms for fitting Variance Gamma density, distribution and quantile functions. We use these to test the empirical evidence of non-normality in financial data. </w:t>
      </w:r>
      <w:r>
        <w:rPr>
          <w:rFonts w:eastAsiaTheme="minorEastAsia"/>
          <w:kern w:val="2"/>
          <w:lang w:eastAsia="zh-CN"/>
        </w:rPr>
        <w:t xml:space="preserve">We </w:t>
      </w:r>
      <w:r w:rsidR="0028502B">
        <w:rPr>
          <w:rFonts w:eastAsiaTheme="minorEastAsia"/>
          <w:kern w:val="2"/>
          <w:lang w:eastAsia="zh-CN"/>
        </w:rPr>
        <w:t>develop</w:t>
      </w:r>
      <w:r>
        <w:rPr>
          <w:rFonts w:eastAsiaTheme="minorEastAsia"/>
          <w:kern w:val="2"/>
          <w:lang w:eastAsia="zh-CN"/>
        </w:rPr>
        <w:t xml:space="preserve"> algorithms for pricing European options and geometric Asian options where the underlying evolves as a Variance Gamma process </w:t>
      </w:r>
      <w:r w:rsidR="00D8304A">
        <w:rPr>
          <w:rFonts w:eastAsiaTheme="minorEastAsia"/>
          <w:kern w:val="2"/>
          <w:lang w:eastAsia="zh-CN"/>
        </w:rPr>
        <w:t xml:space="preserve">using sequential Monte Carlo methods and benchmark </w:t>
      </w:r>
      <w:r w:rsidR="00596D4D">
        <w:rPr>
          <w:rFonts w:eastAsiaTheme="minorEastAsia"/>
          <w:kern w:val="2"/>
          <w:lang w:eastAsia="zh-CN"/>
        </w:rPr>
        <w:t>our</w:t>
      </w:r>
      <w:r w:rsidR="00D8304A">
        <w:rPr>
          <w:rFonts w:eastAsiaTheme="minorEastAsia"/>
          <w:kern w:val="2"/>
          <w:lang w:eastAsia="zh-CN"/>
        </w:rPr>
        <w:t xml:space="preserve"> price against</w:t>
      </w:r>
      <w:r w:rsidR="00FF6621">
        <w:rPr>
          <w:rFonts w:eastAsiaTheme="minorEastAsia"/>
          <w:kern w:val="2"/>
          <w:lang w:eastAsia="zh-CN"/>
        </w:rPr>
        <w:t xml:space="preserve"> </w:t>
      </w:r>
      <w:r w:rsidR="00D8304A">
        <w:rPr>
          <w:rFonts w:eastAsiaTheme="minorEastAsia"/>
          <w:kern w:val="2"/>
          <w:lang w:eastAsia="zh-CN"/>
        </w:rPr>
        <w:t xml:space="preserve">prices from </w:t>
      </w:r>
      <w:r w:rsidR="006A650C">
        <w:rPr>
          <w:rFonts w:eastAsiaTheme="minorEastAsia"/>
          <w:kern w:val="2"/>
          <w:lang w:eastAsia="zh-CN"/>
        </w:rPr>
        <w:t>Fourier transform techniqu</w:t>
      </w:r>
      <w:r w:rsidR="00FF6621">
        <w:rPr>
          <w:rFonts w:eastAsiaTheme="minorEastAsia"/>
          <w:kern w:val="2"/>
          <w:lang w:eastAsia="zh-CN"/>
        </w:rPr>
        <w:t xml:space="preserve">es </w:t>
      </w:r>
      <w:r w:rsidR="00D8304A">
        <w:rPr>
          <w:rFonts w:eastAsiaTheme="minorEastAsia"/>
          <w:kern w:val="2"/>
          <w:lang w:eastAsia="zh-CN"/>
        </w:rPr>
        <w:t>developed in papers</w:t>
      </w:r>
      <w:r w:rsidR="00FF6621">
        <w:rPr>
          <w:rFonts w:eastAsiaTheme="minorEastAsia"/>
          <w:kern w:val="2"/>
          <w:lang w:eastAsia="zh-CN"/>
        </w:rPr>
        <w:t xml:space="preserve"> </w:t>
      </w:r>
      <w:r w:rsidR="00D8304A">
        <w:rPr>
          <w:rFonts w:eastAsiaTheme="minorEastAsia"/>
          <w:kern w:val="2"/>
          <w:lang w:eastAsia="zh-CN"/>
        </w:rPr>
        <w:t>based on Variance Gamma process</w:t>
      </w:r>
      <w:r w:rsidR="00FF6621">
        <w:rPr>
          <w:rFonts w:eastAsiaTheme="minorEastAsia"/>
          <w:kern w:val="2"/>
          <w:lang w:eastAsia="zh-CN"/>
        </w:rPr>
        <w:t xml:space="preserve">. </w:t>
      </w:r>
      <w:r w:rsidR="0086227B">
        <w:rPr>
          <w:rFonts w:eastAsiaTheme="minorEastAsia"/>
          <w:kern w:val="2"/>
          <w:lang w:eastAsia="zh-CN"/>
        </w:rPr>
        <w:t xml:space="preserve">To reduce variance in our estimates we examine </w:t>
      </w:r>
      <w:r w:rsidR="0041649A">
        <w:rPr>
          <w:rFonts w:eastAsiaTheme="minorEastAsia"/>
          <w:kern w:val="2"/>
          <w:lang w:eastAsia="zh-CN"/>
        </w:rPr>
        <w:t xml:space="preserve">Control Variate, </w:t>
      </w:r>
      <w:r w:rsidR="00596D4D">
        <w:rPr>
          <w:rFonts w:eastAsiaTheme="minorEastAsia"/>
          <w:kern w:val="2"/>
          <w:lang w:eastAsia="zh-CN"/>
        </w:rPr>
        <w:t xml:space="preserve">Importance sampling </w:t>
      </w:r>
      <w:r w:rsidR="0041649A">
        <w:rPr>
          <w:rFonts w:eastAsiaTheme="minorEastAsia"/>
          <w:kern w:val="2"/>
          <w:lang w:eastAsia="zh-CN"/>
        </w:rPr>
        <w:t>B</w:t>
      </w:r>
      <w:r w:rsidR="006B1646">
        <w:rPr>
          <w:rFonts w:eastAsiaTheme="minorEastAsia"/>
          <w:kern w:val="2"/>
          <w:lang w:eastAsia="zh-CN"/>
        </w:rPr>
        <w:t xml:space="preserve">ridge sampling </w:t>
      </w:r>
      <w:r w:rsidR="0041649A">
        <w:rPr>
          <w:rFonts w:eastAsiaTheme="minorEastAsia"/>
          <w:kern w:val="2"/>
          <w:lang w:eastAsia="zh-CN"/>
        </w:rPr>
        <w:t xml:space="preserve">techniques </w:t>
      </w:r>
      <w:r w:rsidR="006B1646">
        <w:rPr>
          <w:rFonts w:eastAsiaTheme="minorEastAsia"/>
          <w:kern w:val="2"/>
          <w:lang w:eastAsia="zh-CN"/>
        </w:rPr>
        <w:t>for Asian option</w:t>
      </w:r>
      <w:r w:rsidR="00B9704E">
        <w:rPr>
          <w:rFonts w:eastAsiaTheme="minorEastAsia"/>
          <w:kern w:val="2"/>
          <w:lang w:eastAsia="zh-CN"/>
        </w:rPr>
        <w:t>s.</w:t>
      </w:r>
      <w:r w:rsidR="0024147C">
        <w:rPr>
          <w:rFonts w:eastAsiaTheme="minorEastAsia"/>
          <w:kern w:val="2"/>
          <w:lang w:eastAsia="zh-CN"/>
        </w:rPr>
        <w:t xml:space="preserve"> Finally we use pathwise estimation to develop Greeks for European options.</w:t>
      </w:r>
    </w:p>
    <w:p w:rsidR="00911323" w:rsidRPr="00B90932" w:rsidRDefault="00B90932" w:rsidP="001055DB">
      <w:pPr>
        <w:tabs>
          <w:tab w:val="left" w:pos="6475"/>
        </w:tabs>
        <w:rPr>
          <w:rFonts w:eastAsiaTheme="minorEastAsia"/>
          <w:kern w:val="2"/>
          <w:lang w:eastAsia="zh-CN"/>
        </w:rPr>
      </w:pPr>
      <w:r w:rsidRPr="00B90932">
        <w:rPr>
          <w:rFonts w:eastAsiaTheme="minorEastAsia"/>
          <w:kern w:val="2"/>
          <w:lang w:eastAsia="zh-CN"/>
        </w:rPr>
        <w:t>The paper is organized as follows. In section 1 we motivate the need for Variance Gamma process. In section 2 we briefly describe the notation and results used in the paper. In section 3 we present the algorithms developed and finally we present the results.</w:t>
      </w:r>
    </w:p>
    <w:p w:rsidR="00911323" w:rsidRDefault="00911323" w:rsidP="001055DB">
      <w:pPr>
        <w:tabs>
          <w:tab w:val="left" w:pos="6475"/>
        </w:tabs>
        <w:rPr>
          <w:rFonts w:eastAsiaTheme="minorEastAsia"/>
          <w:lang w:eastAsia="zh-CN"/>
        </w:rPr>
      </w:pPr>
    </w:p>
    <w:p w:rsidR="003D66AE" w:rsidRPr="00F21955" w:rsidRDefault="00911323" w:rsidP="00F21955">
      <w:pPr>
        <w:pStyle w:val="ListParagraph"/>
        <w:numPr>
          <w:ilvl w:val="0"/>
          <w:numId w:val="1"/>
        </w:numPr>
        <w:tabs>
          <w:tab w:val="left" w:pos="6475"/>
        </w:tabs>
        <w:spacing w:after="0" w:line="360" w:lineRule="auto"/>
        <w:rPr>
          <w:rFonts w:eastAsiaTheme="minorEastAsia"/>
          <w:b/>
          <w:kern w:val="2"/>
          <w:lang w:eastAsia="zh-CN"/>
        </w:rPr>
      </w:pPr>
      <w:r w:rsidRPr="00F21955">
        <w:rPr>
          <w:rFonts w:eastAsiaTheme="minorEastAsia"/>
          <w:b/>
          <w:kern w:val="2"/>
          <w:lang w:eastAsia="zh-CN"/>
        </w:rPr>
        <w:t>Introduction</w:t>
      </w:r>
    </w:p>
    <w:p w:rsidR="00906C27" w:rsidRDefault="00906C27" w:rsidP="00906C27">
      <w:pPr>
        <w:pStyle w:val="ListParagraph"/>
        <w:spacing w:afterLines="50" w:after="120"/>
        <w:ind w:left="0"/>
        <w:jc w:val="both"/>
      </w:pPr>
      <w:r>
        <w:t>Black-Scholes model for option pricing assumes that the underlying stock price process is log-normally distributed. However, implied stock price density suggests fat tail and skewed behavior. To counter this problem researchers have proposed Variance Gamma distribution as an underlying model for evolution of stock price process.</w:t>
      </w:r>
    </w:p>
    <w:p w:rsidR="00DA4DE0" w:rsidRDefault="00DA4DE0" w:rsidP="00906C27">
      <w:pPr>
        <w:pStyle w:val="ListParagraph"/>
        <w:spacing w:afterLines="50" w:after="120"/>
        <w:ind w:left="0"/>
        <w:jc w:val="both"/>
      </w:pPr>
    </w:p>
    <w:p w:rsidR="00E20527" w:rsidRDefault="00E20527" w:rsidP="00906C27">
      <w:pPr>
        <w:pStyle w:val="ListParagraph"/>
        <w:spacing w:afterLines="50" w:after="120"/>
        <w:ind w:left="0"/>
        <w:jc w:val="both"/>
      </w:pPr>
      <w:r>
        <w:t xml:space="preserve">We developed functionality to fit a </w:t>
      </w:r>
      <w:r w:rsidRPr="00E20527">
        <w:rPr>
          <w:position w:val="-16"/>
        </w:rPr>
        <w:object w:dxaOrig="13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22pt" o:ole="">
            <v:imagedata r:id="rId5" o:title=""/>
          </v:shape>
          <o:OLEObject Type="Embed" ProgID="Equation.DSMT4" ShapeID="_x0000_i1025" DrawAspect="Content" ObjectID="_1463336348" r:id="rId6"/>
        </w:object>
      </w:r>
      <w:r>
        <w:t xml:space="preserve">  density to data by optimizing log-likelihood. Since we do not have a closed form solution for the density we use the following result</w:t>
      </w:r>
    </w:p>
    <w:p w:rsidR="00E20527" w:rsidRDefault="00E20527" w:rsidP="00E20527">
      <w:pPr>
        <w:pStyle w:val="ListParagraph"/>
        <w:spacing w:afterLines="50" w:after="120"/>
        <w:ind w:left="2880"/>
        <w:jc w:val="both"/>
      </w:pPr>
      <w:r w:rsidRPr="00E20527">
        <w:rPr>
          <w:position w:val="-26"/>
        </w:rPr>
        <w:object w:dxaOrig="5100" w:dyaOrig="720">
          <v:shape id="_x0000_i1026" type="#_x0000_t75" style="width:255pt;height:36pt" o:ole="">
            <v:imagedata r:id="rId7" o:title=""/>
          </v:shape>
          <o:OLEObject Type="Embed" ProgID="Equation.DSMT4" ShapeID="_x0000_i1026" DrawAspect="Content" ObjectID="_1463336349" r:id="rId8"/>
        </w:object>
      </w:r>
      <w:r>
        <w:t xml:space="preserve"> </w:t>
      </w:r>
    </w:p>
    <w:p w:rsidR="00AD7C52" w:rsidRDefault="00E20527" w:rsidP="00AD7C52">
      <w:pPr>
        <w:pStyle w:val="ListParagraph"/>
        <w:spacing w:afterLines="50" w:after="120"/>
        <w:ind w:left="0"/>
        <w:jc w:val="both"/>
      </w:pPr>
      <w:r>
        <w:t xml:space="preserve">Here </w:t>
      </w:r>
      <w:r w:rsidRPr="00E20527">
        <w:rPr>
          <w:position w:val="-4"/>
        </w:rPr>
        <w:object w:dxaOrig="240" w:dyaOrig="260">
          <v:shape id="_x0000_i1027" type="#_x0000_t75" style="width:12pt;height:13pt" o:ole="">
            <v:imagedata r:id="rId9" o:title=""/>
          </v:shape>
          <o:OLEObject Type="Embed" ProgID="Equation.DSMT4" ShapeID="_x0000_i1027" DrawAspect="Content" ObjectID="_1463336350" r:id="rId10"/>
        </w:object>
      </w:r>
      <w:r>
        <w:t xml:space="preserve"> is a characteristic function. We then use root finding to develop the quantile function.</w:t>
      </w:r>
      <w:r w:rsidR="00915989">
        <w:t xml:space="preserve"> We use these functions to </w:t>
      </w:r>
      <w:r w:rsidR="00AD7C52">
        <w:t>fit</w:t>
      </w:r>
      <w:r w:rsidR="00915989">
        <w:t xml:space="preserve"> real data</w:t>
      </w:r>
      <w:r w:rsidR="00AD7C52">
        <w:t xml:space="preserve"> and use the fitted density to construct the following graphs</w:t>
      </w:r>
      <w:r w:rsidR="00A11030">
        <w:t>.</w:t>
      </w:r>
    </w:p>
    <w:p w:rsidR="00844D0D" w:rsidRDefault="00844D0D" w:rsidP="00AD7C52">
      <w:pPr>
        <w:pStyle w:val="ListParagraph"/>
        <w:spacing w:afterLines="50" w:after="120"/>
        <w:ind w:left="0"/>
        <w:jc w:val="both"/>
      </w:pPr>
    </w:p>
    <w:p w:rsidR="00844D0D" w:rsidRDefault="00844D0D" w:rsidP="00844D0D">
      <w:pPr>
        <w:pStyle w:val="ListParagraph"/>
        <w:spacing w:afterLines="50" w:after="120"/>
        <w:ind w:left="0"/>
        <w:jc w:val="right"/>
      </w:pPr>
      <w:r w:rsidRPr="00DA4DE0">
        <w:rPr>
          <w:rFonts w:eastAsiaTheme="minorEastAsia"/>
          <w:b/>
          <w:noProof/>
        </w:rPr>
        <mc:AlternateContent>
          <mc:Choice Requires="wps">
            <w:drawing>
              <wp:anchor distT="45720" distB="45720" distL="114300" distR="114300" simplePos="0" relativeHeight="251661312" behindDoc="0" locked="0" layoutInCell="1" allowOverlap="1" wp14:anchorId="0940D3FA" wp14:editId="1710C7EF">
                <wp:simplePos x="0" y="0"/>
                <wp:positionH relativeFrom="margin">
                  <wp:align>left</wp:align>
                </wp:positionH>
                <wp:positionV relativeFrom="paragraph">
                  <wp:posOffset>696514</wp:posOffset>
                </wp:positionV>
                <wp:extent cx="2444750" cy="1404620"/>
                <wp:effectExtent l="0" t="0" r="0" b="6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1404620"/>
                        </a:xfrm>
                        <a:prstGeom prst="rect">
                          <a:avLst/>
                        </a:prstGeom>
                        <a:solidFill>
                          <a:srgbClr val="FFFFFF"/>
                        </a:solidFill>
                        <a:ln w="9525">
                          <a:noFill/>
                          <a:miter lim="800000"/>
                          <a:headEnd/>
                          <a:tailEnd/>
                        </a:ln>
                      </wps:spPr>
                      <wps:txbx>
                        <w:txbxContent>
                          <w:p w:rsidR="00172485" w:rsidRPr="00DA4DE0" w:rsidRDefault="00172485" w:rsidP="00844D0D">
                            <w:pPr>
                              <w:jc w:val="both"/>
                              <w:rPr>
                                <w:sz w:val="20"/>
                                <w:szCs w:val="20"/>
                              </w:rPr>
                            </w:pPr>
                            <w:r w:rsidRPr="00DA4DE0">
                              <w:rPr>
                                <w:sz w:val="20"/>
                                <w:szCs w:val="20"/>
                              </w:rPr>
                              <w:t xml:space="preserve">The adjacent figure shows a </w:t>
                            </w:r>
                            <w:r>
                              <w:rPr>
                                <w:sz w:val="20"/>
                                <w:szCs w:val="20"/>
                              </w:rPr>
                              <w:t>comparison of the various parametric densities against</w:t>
                            </w:r>
                            <w:r w:rsidRPr="00DA4DE0">
                              <w:rPr>
                                <w:sz w:val="20"/>
                                <w:szCs w:val="20"/>
                              </w:rPr>
                              <w:t xml:space="preserve"> </w:t>
                            </w:r>
                            <w:r>
                              <w:rPr>
                                <w:sz w:val="20"/>
                                <w:szCs w:val="20"/>
                              </w:rPr>
                              <w:t>empirical density. We see that VG seems to fit the empirical density very well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0D3FA" id="_x0000_t202" coordsize="21600,21600" o:spt="202" path="m,l,21600r21600,l21600,xe">
                <v:stroke joinstyle="miter"/>
                <v:path gradientshapeok="t" o:connecttype="rect"/>
              </v:shapetype>
              <v:shape id="Text Box 2" o:spid="_x0000_s1026" type="#_x0000_t202" style="position:absolute;left:0;text-align:left;margin-left:0;margin-top:54.85pt;width:19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" stroked="f">
                <v:textbox style="mso-fit-shape-to-text:t">
                  <w:txbxContent>
                    <w:p w:rsidR="00172485" w:rsidRPr="00DA4DE0" w:rsidRDefault="00172485" w:rsidP="00844D0D">
                      <w:pPr>
                        <w:jc w:val="both"/>
                        <w:rPr>
                          <w:sz w:val="20"/>
                          <w:szCs w:val="20"/>
                        </w:rPr>
                      </w:pPr>
                      <w:r w:rsidRPr="00DA4DE0">
                        <w:rPr>
                          <w:sz w:val="20"/>
                          <w:szCs w:val="20"/>
                        </w:rPr>
                        <w:t xml:space="preserve">The adjacent figure shows a </w:t>
                      </w:r>
                      <w:r>
                        <w:rPr>
                          <w:sz w:val="20"/>
                          <w:szCs w:val="20"/>
                        </w:rPr>
                        <w:t>comparison of the various parametric densities against</w:t>
                      </w:r>
                      <w:r w:rsidRPr="00DA4DE0">
                        <w:rPr>
                          <w:sz w:val="20"/>
                          <w:szCs w:val="20"/>
                        </w:rPr>
                        <w:t xml:space="preserve"> </w:t>
                      </w:r>
                      <w:r>
                        <w:rPr>
                          <w:sz w:val="20"/>
                          <w:szCs w:val="20"/>
                        </w:rPr>
                        <w:t>empirical density. We see that VG seems to fit the empirical density very well</w:t>
                      </w:r>
                    </w:p>
                  </w:txbxContent>
                </v:textbox>
                <w10:wrap type="square" anchorx="margin"/>
              </v:shape>
            </w:pict>
          </mc:Fallback>
        </mc:AlternateContent>
      </w:r>
      <w:r w:rsidRPr="00844D0D">
        <w:rPr>
          <w:noProof/>
        </w:rPr>
        <w:drawing>
          <wp:inline distT="0" distB="0" distL="0" distR="0">
            <wp:extent cx="4518106" cy="2561452"/>
            <wp:effectExtent l="0" t="0" r="0" b="0"/>
            <wp:docPr id="5" name="Picture 5" descr="C:\Users\SonaliAndRohit\Documents\GitHub\VG-MonteCarlo\plots\density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SonaliAndRohit\Documents\GitHub\VG-MonteCarlo\plots\density plo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4971" cy="2588021"/>
                    </a:xfrm>
                    <a:prstGeom prst="rect">
                      <a:avLst/>
                    </a:prstGeom>
                    <a:noFill/>
                    <a:ln>
                      <a:noFill/>
                    </a:ln>
                  </pic:spPr>
                </pic:pic>
              </a:graphicData>
            </a:graphic>
          </wp:inline>
        </w:drawing>
      </w:r>
    </w:p>
    <w:p w:rsidR="00AD7C52" w:rsidRDefault="00AD7C52" w:rsidP="00E20527">
      <w:pPr>
        <w:pStyle w:val="ListParagraph"/>
        <w:spacing w:afterLines="50" w:after="120"/>
        <w:ind w:left="2880"/>
        <w:jc w:val="both"/>
      </w:pPr>
    </w:p>
    <w:p w:rsidR="00AD7C52" w:rsidRDefault="00AD7C52" w:rsidP="00E20527">
      <w:pPr>
        <w:pStyle w:val="ListParagraph"/>
        <w:spacing w:afterLines="50" w:after="120"/>
        <w:ind w:left="2880"/>
        <w:jc w:val="both"/>
      </w:pPr>
    </w:p>
    <w:p w:rsidR="00AD7C52" w:rsidRDefault="00AD7C52" w:rsidP="00E20527">
      <w:pPr>
        <w:pStyle w:val="ListParagraph"/>
        <w:spacing w:afterLines="50" w:after="120"/>
        <w:ind w:left="2880"/>
        <w:jc w:val="both"/>
      </w:pPr>
    </w:p>
    <w:p w:rsidR="00955666" w:rsidRDefault="00DA4DE0" w:rsidP="00DA4DE0">
      <w:pPr>
        <w:pStyle w:val="ListParagraph"/>
        <w:tabs>
          <w:tab w:val="left" w:pos="6475"/>
        </w:tabs>
        <w:ind w:left="360"/>
        <w:jc w:val="right"/>
        <w:rPr>
          <w:rFonts w:eastAsiaTheme="minorEastAsia"/>
          <w:b/>
          <w:lang w:eastAsia="zh-CN"/>
        </w:rPr>
      </w:pPr>
      <w:r w:rsidRPr="00DA4DE0">
        <w:rPr>
          <w:rFonts w:eastAsiaTheme="minorEastAsia"/>
          <w:b/>
          <w:noProof/>
        </w:rPr>
        <mc:AlternateContent>
          <mc:Choice Requires="wps">
            <w:drawing>
              <wp:anchor distT="45720" distB="45720" distL="114300" distR="114300" simplePos="0" relativeHeight="251659264" behindDoc="0" locked="0" layoutInCell="1" allowOverlap="1" wp14:anchorId="2288DFE7" wp14:editId="780275F5">
                <wp:simplePos x="0" y="0"/>
                <wp:positionH relativeFrom="margin">
                  <wp:align>left</wp:align>
                </wp:positionH>
                <wp:positionV relativeFrom="paragraph">
                  <wp:posOffset>417630</wp:posOffset>
                </wp:positionV>
                <wp:extent cx="244475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816" cy="1404620"/>
                        </a:xfrm>
                        <a:prstGeom prst="rect">
                          <a:avLst/>
                        </a:prstGeom>
                        <a:solidFill>
                          <a:srgbClr val="FFFFFF"/>
                        </a:solidFill>
                        <a:ln w="9525">
                          <a:noFill/>
                          <a:miter lim="800000"/>
                          <a:headEnd/>
                          <a:tailEnd/>
                        </a:ln>
                      </wps:spPr>
                      <wps:txbx>
                        <w:txbxContent>
                          <w:p w:rsidR="00172485" w:rsidRPr="00DA4DE0" w:rsidRDefault="00172485" w:rsidP="00AA35E6">
                            <w:pPr>
                              <w:jc w:val="both"/>
                              <w:rPr>
                                <w:sz w:val="20"/>
                                <w:szCs w:val="20"/>
                              </w:rPr>
                            </w:pPr>
                            <w:r w:rsidRPr="00DA4DE0">
                              <w:rPr>
                                <w:sz w:val="20"/>
                                <w:szCs w:val="20"/>
                              </w:rPr>
                              <w:t xml:space="preserve">The adjacent figure shows a QQ plot. By examining the tails we can </w:t>
                            </w:r>
                            <w:r>
                              <w:rPr>
                                <w:sz w:val="20"/>
                                <w:szCs w:val="20"/>
                              </w:rPr>
                              <w:t>c</w:t>
                            </w:r>
                            <w:r w:rsidRPr="00DA4DE0">
                              <w:rPr>
                                <w:sz w:val="20"/>
                                <w:szCs w:val="20"/>
                              </w:rPr>
                              <w:t xml:space="preserve">onclude non-normality. We </w:t>
                            </w:r>
                            <w:r>
                              <w:rPr>
                                <w:sz w:val="20"/>
                                <w:szCs w:val="20"/>
                              </w:rPr>
                              <w:t xml:space="preserve">can </w:t>
                            </w:r>
                            <w:r w:rsidRPr="00DA4DE0">
                              <w:rPr>
                                <w:sz w:val="20"/>
                                <w:szCs w:val="20"/>
                              </w:rPr>
                              <w:t xml:space="preserve">also </w:t>
                            </w:r>
                            <w:r>
                              <w:rPr>
                                <w:sz w:val="20"/>
                                <w:szCs w:val="20"/>
                              </w:rPr>
                              <w:t xml:space="preserve">see </w:t>
                            </w:r>
                            <w:r w:rsidRPr="00DA4DE0">
                              <w:rPr>
                                <w:sz w:val="20"/>
                                <w:szCs w:val="20"/>
                              </w:rPr>
                              <w:t xml:space="preserve">deviation from typical behavior from the overlayed distributions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88DFE7" id="_x0000_s1027" type="#_x0000_t202" style="position:absolute;left:0;text-align:left;margin-left:0;margin-top:32.9pt;width:19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" stroked="f">
                <v:textbox style="mso-fit-shape-to-text:t">
                  <w:txbxContent>
                    <w:p w:rsidR="00172485" w:rsidRPr="00DA4DE0" w:rsidRDefault="00172485" w:rsidP="00AA35E6">
                      <w:pPr>
                        <w:jc w:val="both"/>
                        <w:rPr>
                          <w:sz w:val="20"/>
                          <w:szCs w:val="20"/>
                        </w:rPr>
                      </w:pPr>
                      <w:r w:rsidRPr="00DA4DE0">
                        <w:rPr>
                          <w:sz w:val="20"/>
                          <w:szCs w:val="20"/>
                        </w:rPr>
                        <w:t xml:space="preserve">The adjacent figure shows a QQ plot. By examining the tails we can </w:t>
                      </w:r>
                      <w:r>
                        <w:rPr>
                          <w:sz w:val="20"/>
                          <w:szCs w:val="20"/>
                        </w:rPr>
                        <w:t>c</w:t>
                      </w:r>
                      <w:r w:rsidRPr="00DA4DE0">
                        <w:rPr>
                          <w:sz w:val="20"/>
                          <w:szCs w:val="20"/>
                        </w:rPr>
                        <w:t xml:space="preserve">onclude non-normality. We </w:t>
                      </w:r>
                      <w:r>
                        <w:rPr>
                          <w:sz w:val="20"/>
                          <w:szCs w:val="20"/>
                        </w:rPr>
                        <w:t xml:space="preserve">can </w:t>
                      </w:r>
                      <w:r w:rsidRPr="00DA4DE0">
                        <w:rPr>
                          <w:sz w:val="20"/>
                          <w:szCs w:val="20"/>
                        </w:rPr>
                        <w:t xml:space="preserve">also </w:t>
                      </w:r>
                      <w:r>
                        <w:rPr>
                          <w:sz w:val="20"/>
                          <w:szCs w:val="20"/>
                        </w:rPr>
                        <w:t xml:space="preserve">see </w:t>
                      </w:r>
                      <w:r w:rsidRPr="00DA4DE0">
                        <w:rPr>
                          <w:sz w:val="20"/>
                          <w:szCs w:val="20"/>
                        </w:rPr>
                        <w:t xml:space="preserve">deviation from typical behavior from the overlayed distributions </w:t>
                      </w:r>
                    </w:p>
                  </w:txbxContent>
                </v:textbox>
                <w10:wrap type="square" anchorx="margin"/>
              </v:shape>
            </w:pict>
          </mc:Fallback>
        </mc:AlternateContent>
      </w:r>
      <w:r w:rsidRPr="00DA4DE0">
        <w:rPr>
          <w:rFonts w:eastAsiaTheme="minorEastAsia"/>
          <w:b/>
          <w:noProof/>
        </w:rPr>
        <w:drawing>
          <wp:inline distT="0" distB="0" distL="0" distR="0">
            <wp:extent cx="4542677" cy="2168892"/>
            <wp:effectExtent l="0" t="0" r="0" b="3175"/>
            <wp:docPr id="1" name="Picture 1" descr="C:\Users\SonaliAndRohit\Documents\GitHub\VG-MonteCarlo\plots\CDF plots and QQ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liAndRohit\Documents\GitHub\VG-MonteCarlo\plots\CDF plots and QQ pl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8512" cy="2176452"/>
                    </a:xfrm>
                    <a:prstGeom prst="rect">
                      <a:avLst/>
                    </a:prstGeom>
                    <a:noFill/>
                    <a:ln>
                      <a:noFill/>
                    </a:ln>
                  </pic:spPr>
                </pic:pic>
              </a:graphicData>
            </a:graphic>
          </wp:inline>
        </w:drawing>
      </w:r>
    </w:p>
    <w:p w:rsidR="00AD7C52" w:rsidRDefault="00AD7C52" w:rsidP="00DA4DE0">
      <w:pPr>
        <w:pStyle w:val="ListParagraph"/>
        <w:tabs>
          <w:tab w:val="left" w:pos="6475"/>
        </w:tabs>
        <w:ind w:left="360"/>
        <w:jc w:val="right"/>
        <w:rPr>
          <w:rFonts w:eastAsiaTheme="minorEastAsia"/>
          <w:b/>
          <w:lang w:eastAsia="zh-CN"/>
        </w:rPr>
      </w:pPr>
    </w:p>
    <w:p w:rsidR="00205EF5" w:rsidRDefault="00B557FD" w:rsidP="00B557FD">
      <w:pPr>
        <w:autoSpaceDE w:val="0"/>
        <w:autoSpaceDN w:val="0"/>
        <w:adjustRightInd w:val="0"/>
        <w:spacing w:after="0" w:line="240" w:lineRule="auto"/>
      </w:pPr>
      <w:r w:rsidRPr="00B557FD">
        <w:t xml:space="preserve">Brownian motion moves in a uniform way over time and is unable to capture jumps in data. </w:t>
      </w:r>
      <w:r>
        <w:t>Hence it does not capture smile effects in volatility. On the other hand, Variance Gamma, as seen below is capable of producing jumps. Such a process can produce infinite number of jumps in any interval. It also exhibits a finite variation unlike Geometric Brownian motion.</w:t>
      </w:r>
    </w:p>
    <w:p w:rsidR="00B557FD" w:rsidRPr="00B557FD" w:rsidRDefault="00B557FD" w:rsidP="00B557FD">
      <w:pPr>
        <w:autoSpaceDE w:val="0"/>
        <w:autoSpaceDN w:val="0"/>
        <w:adjustRightInd w:val="0"/>
        <w:spacing w:after="0" w:line="240" w:lineRule="auto"/>
      </w:pPr>
    </w:p>
    <w:p w:rsidR="00B557FD" w:rsidRDefault="00B557FD" w:rsidP="00B557FD">
      <w:pPr>
        <w:autoSpaceDE w:val="0"/>
        <w:autoSpaceDN w:val="0"/>
        <w:adjustRightInd w:val="0"/>
        <w:spacing w:after="0" w:line="240" w:lineRule="auto"/>
        <w:rPr>
          <w:rFonts w:ascii="Times New Roman" w:hAnsi="Times New Roman" w:cs="Times New Roman"/>
          <w:color w:val="000000"/>
          <w:sz w:val="20"/>
          <w:szCs w:val="20"/>
        </w:rPr>
      </w:pPr>
    </w:p>
    <w:p w:rsidR="00B557FD" w:rsidRDefault="00B557FD" w:rsidP="00B557FD">
      <w:pPr>
        <w:autoSpaceDE w:val="0"/>
        <w:autoSpaceDN w:val="0"/>
        <w:adjustRightInd w:val="0"/>
        <w:spacing w:after="0" w:line="240" w:lineRule="auto"/>
        <w:jc w:val="center"/>
        <w:rPr>
          <w:rFonts w:eastAsiaTheme="minorEastAsia"/>
          <w:b/>
          <w:lang w:eastAsia="zh-CN"/>
        </w:rPr>
      </w:pPr>
      <w:r w:rsidRPr="00EC3FAA">
        <w:rPr>
          <w:noProof/>
        </w:rPr>
        <w:drawing>
          <wp:inline distT="0" distB="0" distL="0" distR="0" wp14:anchorId="7AA1B0E5" wp14:editId="280C4465">
            <wp:extent cx="4972923" cy="4746625"/>
            <wp:effectExtent l="0" t="0" r="0" b="0"/>
            <wp:docPr id="7" name="Picture 7" descr="C:\Users\SonaliAndRohit\Documents\GitHub\VG-MonteCarlo\plots\Stock price paths for VG and GBM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SonaliAndRohit\Documents\GitHub\VG-MonteCarlo\plots\Stock price paths for VG and GBM proces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90093" cy="4763013"/>
                    </a:xfrm>
                    <a:prstGeom prst="rect">
                      <a:avLst/>
                    </a:prstGeom>
                    <a:noFill/>
                    <a:ln>
                      <a:noFill/>
                    </a:ln>
                  </pic:spPr>
                </pic:pic>
              </a:graphicData>
            </a:graphic>
          </wp:inline>
        </w:drawing>
      </w:r>
    </w:p>
    <w:p w:rsidR="00B557FD" w:rsidRDefault="00B557FD" w:rsidP="00DA4DE0">
      <w:pPr>
        <w:pStyle w:val="ListParagraph"/>
        <w:tabs>
          <w:tab w:val="left" w:pos="6475"/>
        </w:tabs>
        <w:ind w:left="360"/>
        <w:jc w:val="right"/>
        <w:rPr>
          <w:rFonts w:eastAsiaTheme="minorEastAsia"/>
          <w:b/>
          <w:lang w:eastAsia="zh-CN"/>
        </w:rPr>
      </w:pPr>
    </w:p>
    <w:p w:rsidR="00205EF5" w:rsidRDefault="00205EF5" w:rsidP="00DA4DE0">
      <w:pPr>
        <w:pStyle w:val="ListParagraph"/>
        <w:tabs>
          <w:tab w:val="left" w:pos="6475"/>
        </w:tabs>
        <w:ind w:left="360"/>
        <w:jc w:val="right"/>
        <w:rPr>
          <w:rFonts w:eastAsiaTheme="minorEastAsia"/>
          <w:b/>
          <w:lang w:eastAsia="zh-CN"/>
        </w:rPr>
      </w:pPr>
    </w:p>
    <w:p w:rsidR="00B557FD" w:rsidRDefault="00B557FD" w:rsidP="00DA4DE0">
      <w:pPr>
        <w:pStyle w:val="ListParagraph"/>
        <w:tabs>
          <w:tab w:val="left" w:pos="6475"/>
        </w:tabs>
        <w:ind w:left="360"/>
        <w:jc w:val="right"/>
        <w:rPr>
          <w:rFonts w:eastAsiaTheme="minorEastAsia"/>
          <w:b/>
          <w:lang w:eastAsia="zh-CN"/>
        </w:rPr>
      </w:pPr>
    </w:p>
    <w:p w:rsidR="00B557FD" w:rsidRDefault="00B557FD" w:rsidP="00DA4DE0">
      <w:pPr>
        <w:pStyle w:val="ListParagraph"/>
        <w:tabs>
          <w:tab w:val="left" w:pos="6475"/>
        </w:tabs>
        <w:ind w:left="360"/>
        <w:jc w:val="right"/>
        <w:rPr>
          <w:rFonts w:eastAsiaTheme="minorEastAsia"/>
          <w:b/>
          <w:lang w:eastAsia="zh-CN"/>
        </w:rPr>
      </w:pPr>
    </w:p>
    <w:p w:rsidR="00B557FD" w:rsidRDefault="00B557FD" w:rsidP="00DA4DE0">
      <w:pPr>
        <w:pStyle w:val="ListParagraph"/>
        <w:tabs>
          <w:tab w:val="left" w:pos="6475"/>
        </w:tabs>
        <w:ind w:left="360"/>
        <w:jc w:val="right"/>
        <w:rPr>
          <w:rFonts w:eastAsiaTheme="minorEastAsia"/>
          <w:b/>
          <w:lang w:eastAsia="zh-CN"/>
        </w:rPr>
      </w:pPr>
    </w:p>
    <w:p w:rsidR="00AD7C52" w:rsidRPr="00DA4DE0" w:rsidRDefault="00AD7C52" w:rsidP="00DA4DE0">
      <w:pPr>
        <w:pStyle w:val="ListParagraph"/>
        <w:tabs>
          <w:tab w:val="left" w:pos="6475"/>
        </w:tabs>
        <w:ind w:left="360"/>
        <w:jc w:val="right"/>
        <w:rPr>
          <w:rFonts w:eastAsiaTheme="minorEastAsia"/>
          <w:b/>
          <w:lang w:eastAsia="zh-CN"/>
        </w:rPr>
      </w:pPr>
    </w:p>
    <w:p w:rsidR="00A500EB" w:rsidRPr="00F21955" w:rsidRDefault="0040167D" w:rsidP="00F21955">
      <w:pPr>
        <w:pStyle w:val="ListParagraph"/>
        <w:numPr>
          <w:ilvl w:val="0"/>
          <w:numId w:val="1"/>
        </w:numPr>
        <w:tabs>
          <w:tab w:val="left" w:pos="6475"/>
        </w:tabs>
        <w:spacing w:line="360" w:lineRule="auto"/>
        <w:rPr>
          <w:rFonts w:eastAsiaTheme="minorEastAsia"/>
          <w:lang w:eastAsia="zh-CN"/>
        </w:rPr>
      </w:pPr>
      <w:r w:rsidRPr="00F21955">
        <w:rPr>
          <w:rFonts w:eastAsiaTheme="minorEastAsia"/>
          <w:b/>
          <w:kern w:val="2"/>
          <w:lang w:eastAsia="zh-CN"/>
        </w:rPr>
        <w:t>Notation</w:t>
      </w:r>
    </w:p>
    <w:p w:rsidR="0030629F" w:rsidRPr="0058085F" w:rsidRDefault="0030629F" w:rsidP="0030629F">
      <w:pPr>
        <w:pStyle w:val="ListParagraph"/>
        <w:tabs>
          <w:tab w:val="left" w:pos="6475"/>
        </w:tabs>
        <w:ind w:left="360"/>
      </w:pPr>
      <w:r w:rsidRPr="0058085F">
        <w:t xml:space="preserve">A random variable which is distributed with respect a </w:t>
      </w:r>
      <w:r w:rsidR="0058085F" w:rsidRPr="0058085F">
        <w:t>Variance Gamma</w:t>
      </w:r>
      <w:r w:rsidR="0058085F">
        <w:t xml:space="preserve"> </w:t>
      </w:r>
      <w:r w:rsidRPr="0058085F">
        <w:t xml:space="preserve">distribution has </w:t>
      </w:r>
      <w:r w:rsidR="00B3706F" w:rsidRPr="0058085F">
        <w:t xml:space="preserve">the following </w:t>
      </w:r>
      <w:r w:rsidRPr="0058085F">
        <w:t>density</w:t>
      </w:r>
    </w:p>
    <w:p w:rsidR="00B3706F" w:rsidRDefault="0058085F" w:rsidP="0030629F">
      <w:pPr>
        <w:pStyle w:val="ListParagraph"/>
        <w:tabs>
          <w:tab w:val="left" w:pos="6475"/>
        </w:tabs>
        <w:ind w:left="360"/>
        <w:rPr>
          <w:rFonts w:ascii="NimbusRomNo9L" w:hAnsi="NimbusRomNo9L" w:cs="NimbusRomNo9L"/>
          <w:color w:val="000000"/>
          <w:sz w:val="20"/>
          <w:szCs w:val="20"/>
        </w:rPr>
      </w:pPr>
      <w:r w:rsidRPr="0058085F">
        <w:rPr>
          <w:rFonts w:ascii="NimbusRomNo9L" w:hAnsi="NimbusRomNo9L" w:cs="NimbusRomNo9L"/>
          <w:color w:val="000000"/>
          <w:position w:val="-68"/>
          <w:sz w:val="20"/>
          <w:szCs w:val="20"/>
        </w:rPr>
        <w:object w:dxaOrig="6180" w:dyaOrig="1480">
          <v:shape id="_x0000_i1028" type="#_x0000_t75" style="width:309pt;height:74pt" o:ole="">
            <v:imagedata r:id="rId14" o:title=""/>
          </v:shape>
          <o:OLEObject Type="Embed" ProgID="Equation.DSMT4" ShapeID="_x0000_i1028" DrawAspect="Content" ObjectID="_1463336351" r:id="rId15"/>
        </w:object>
      </w:r>
      <w:r>
        <w:rPr>
          <w:rFonts w:ascii="NimbusRomNo9L" w:hAnsi="NimbusRomNo9L" w:cs="NimbusRomNo9L"/>
          <w:color w:val="000000"/>
          <w:sz w:val="20"/>
          <w:szCs w:val="20"/>
        </w:rPr>
        <w:t xml:space="preserve"> </w:t>
      </w:r>
    </w:p>
    <w:p w:rsidR="0030629F" w:rsidRDefault="0058085F" w:rsidP="0030629F">
      <w:pPr>
        <w:pStyle w:val="ListParagraph"/>
        <w:tabs>
          <w:tab w:val="left" w:pos="6475"/>
        </w:tabs>
        <w:ind w:left="360"/>
      </w:pPr>
      <w:r w:rsidRPr="008135D2">
        <w:t xml:space="preserve">The above form shows that we can </w:t>
      </w:r>
      <w:r w:rsidR="008135D2">
        <w:t xml:space="preserve">also </w:t>
      </w:r>
      <w:r w:rsidRPr="008135D2">
        <w:t xml:space="preserve">obtain </w:t>
      </w:r>
      <w:r w:rsidR="008135D2" w:rsidRPr="008135D2">
        <w:t>the</w:t>
      </w:r>
      <w:r w:rsidR="008135D2">
        <w:t xml:space="preserve"> </w:t>
      </w:r>
      <w:r w:rsidR="008135D2" w:rsidRPr="008135D2">
        <w:t>density</w:t>
      </w:r>
      <w:r w:rsidR="008135D2">
        <w:t xml:space="preserve"> by conditioning a Normal density on Gamma density.</w:t>
      </w:r>
      <w:r w:rsidR="00DD5D35">
        <w:t xml:space="preserve"> We exploit this relationship to construct the density of a </w:t>
      </w:r>
      <w:r w:rsidR="00DD5D35" w:rsidRPr="0058085F">
        <w:t>Variance Gamma</w:t>
      </w:r>
      <w:r w:rsidR="00DD5D35">
        <w:t xml:space="preserve"> random variable.</w:t>
      </w:r>
      <w:r w:rsidR="00B326F5">
        <w:t xml:space="preserve"> </w:t>
      </w:r>
      <w:r w:rsidR="00B3706F" w:rsidRPr="008135D2">
        <w:t>Its characteristic function has the following form</w:t>
      </w:r>
    </w:p>
    <w:p w:rsidR="00B326F5" w:rsidRDefault="00B326F5" w:rsidP="00AD7C52">
      <w:pPr>
        <w:pStyle w:val="ListParagraph"/>
        <w:tabs>
          <w:tab w:val="left" w:pos="6475"/>
        </w:tabs>
        <w:ind w:left="360"/>
        <w:jc w:val="center"/>
      </w:pPr>
      <w:r w:rsidRPr="00B326F5">
        <w:rPr>
          <w:position w:val="-42"/>
        </w:rPr>
        <w:object w:dxaOrig="3879" w:dyaOrig="1060">
          <v:shape id="_x0000_i1029" type="#_x0000_t75" style="width:193.95pt;height:53pt" o:ole="">
            <v:imagedata r:id="rId16" o:title=""/>
          </v:shape>
          <o:OLEObject Type="Embed" ProgID="Equation.DSMT4" ShapeID="_x0000_i1029" DrawAspect="Content" ObjectID="_1463336352" r:id="rId17"/>
        </w:object>
      </w:r>
    </w:p>
    <w:p w:rsidR="00B326F5" w:rsidRDefault="00B326F5" w:rsidP="0030629F">
      <w:pPr>
        <w:pStyle w:val="ListParagraph"/>
        <w:tabs>
          <w:tab w:val="left" w:pos="6475"/>
        </w:tabs>
        <w:ind w:left="360"/>
      </w:pPr>
      <w:r>
        <w:t xml:space="preserve">The characteristic function severs an important role for pricing contracts using Fourier transform technique as suggested in </w:t>
      </w:r>
      <w:r w:rsidR="006031EB">
        <w:t>[4]</w:t>
      </w:r>
      <w:r w:rsidR="00AD7C52">
        <w:t>. We list the main result here</w:t>
      </w:r>
    </w:p>
    <w:p w:rsidR="00AD7C52" w:rsidRDefault="00AD7C52" w:rsidP="00AD7C52">
      <w:pPr>
        <w:pStyle w:val="ListParagraph"/>
        <w:tabs>
          <w:tab w:val="left" w:pos="6475"/>
        </w:tabs>
        <w:ind w:left="360"/>
        <w:jc w:val="center"/>
      </w:pPr>
      <w:r w:rsidRPr="00AD7C52">
        <w:rPr>
          <w:position w:val="-26"/>
        </w:rPr>
        <w:object w:dxaOrig="3780" w:dyaOrig="740">
          <v:shape id="_x0000_i1030" type="#_x0000_t75" style="width:189pt;height:37pt" o:ole="">
            <v:imagedata r:id="rId18" o:title=""/>
          </v:shape>
          <o:OLEObject Type="Embed" ProgID="Equation.DSMT4" ShapeID="_x0000_i1030" DrawAspect="Content" ObjectID="_1463336353" r:id="rId19"/>
        </w:object>
      </w:r>
      <w:r>
        <w:tab/>
      </w:r>
    </w:p>
    <w:p w:rsidR="00AD7C52" w:rsidRDefault="00AD7C52" w:rsidP="0030629F">
      <w:pPr>
        <w:pStyle w:val="ListParagraph"/>
        <w:tabs>
          <w:tab w:val="left" w:pos="6475"/>
        </w:tabs>
        <w:ind w:left="360"/>
      </w:pPr>
      <w:r>
        <w:t>where</w:t>
      </w:r>
      <w:r w:rsidRPr="00AD7C52">
        <w:rPr>
          <w:position w:val="-4"/>
        </w:rPr>
        <w:object w:dxaOrig="260" w:dyaOrig="260">
          <v:shape id="_x0000_i1031" type="#_x0000_t75" style="width:13pt;height:13pt" o:ole="">
            <v:imagedata r:id="rId20" o:title=""/>
          </v:shape>
          <o:OLEObject Type="Embed" ProgID="Equation.DSMT4" ShapeID="_x0000_i1031" DrawAspect="Content" ObjectID="_1463336354" r:id="rId21"/>
        </w:object>
      </w:r>
      <w:r>
        <w:t xml:space="preserve"> is the characteristic function of the risk-neutral distribution. We use this technique to price European Calls and puts with Variance Gamma as the underlying. We further use results from</w:t>
      </w:r>
      <w:r w:rsidR="005A037D">
        <w:t xml:space="preserve"> [5]</w:t>
      </w:r>
      <w:r w:rsidR="00E1752B">
        <w:t xml:space="preserve"> to price discretely monitored Geometric Asian options.</w:t>
      </w:r>
      <w:r>
        <w:t xml:space="preserve"> These prices ser</w:t>
      </w:r>
      <w:r w:rsidR="00E1752B">
        <w:t>ve as a benchmark for all our pricing results from Monte-Carlo simulation.</w:t>
      </w:r>
    </w:p>
    <w:p w:rsidR="00205EF5" w:rsidRDefault="00205EF5" w:rsidP="0030629F">
      <w:pPr>
        <w:pStyle w:val="ListParagraph"/>
        <w:tabs>
          <w:tab w:val="left" w:pos="6475"/>
        </w:tabs>
        <w:ind w:left="360"/>
      </w:pPr>
    </w:p>
    <w:p w:rsidR="00205EF5" w:rsidRDefault="00205EF5" w:rsidP="0030629F">
      <w:pPr>
        <w:pStyle w:val="ListParagraph"/>
        <w:tabs>
          <w:tab w:val="left" w:pos="6475"/>
        </w:tabs>
        <w:ind w:left="360"/>
      </w:pPr>
    </w:p>
    <w:p w:rsidR="0058085F" w:rsidRPr="00B3706F" w:rsidRDefault="0058085F" w:rsidP="0030629F">
      <w:pPr>
        <w:pStyle w:val="ListParagraph"/>
        <w:tabs>
          <w:tab w:val="left" w:pos="6475"/>
        </w:tabs>
        <w:ind w:left="360"/>
        <w:rPr>
          <w:rFonts w:ascii="NimbusRomNo9L" w:hAnsi="NimbusRomNo9L" w:cs="NimbusRomNo9L"/>
          <w:color w:val="000000"/>
          <w:sz w:val="20"/>
          <w:szCs w:val="20"/>
        </w:rPr>
      </w:pPr>
    </w:p>
    <w:p w:rsidR="0030629F" w:rsidRDefault="004D15FB" w:rsidP="004D15FB">
      <w:pPr>
        <w:pStyle w:val="ListParagraph"/>
        <w:numPr>
          <w:ilvl w:val="0"/>
          <w:numId w:val="1"/>
        </w:numPr>
        <w:tabs>
          <w:tab w:val="left" w:pos="6475"/>
        </w:tabs>
        <w:spacing w:line="360" w:lineRule="auto"/>
        <w:rPr>
          <w:rFonts w:eastAsiaTheme="minorEastAsia"/>
          <w:b/>
          <w:kern w:val="2"/>
          <w:lang w:eastAsia="zh-CN"/>
        </w:rPr>
      </w:pPr>
      <w:r w:rsidRPr="004D15FB">
        <w:rPr>
          <w:rFonts w:eastAsiaTheme="minorEastAsia"/>
          <w:b/>
          <w:kern w:val="2"/>
          <w:lang w:eastAsia="zh-CN"/>
        </w:rPr>
        <w:t>Methods</w:t>
      </w:r>
    </w:p>
    <w:p w:rsidR="00DE613C" w:rsidRDefault="00DE613C" w:rsidP="00DE613C">
      <w:pPr>
        <w:pStyle w:val="ListParagraph"/>
        <w:numPr>
          <w:ilvl w:val="1"/>
          <w:numId w:val="1"/>
        </w:numPr>
        <w:tabs>
          <w:tab w:val="left" w:pos="6475"/>
        </w:tabs>
        <w:spacing w:line="360" w:lineRule="auto"/>
        <w:rPr>
          <w:rFonts w:eastAsiaTheme="minorEastAsia"/>
          <w:kern w:val="2"/>
          <w:lang w:eastAsia="zh-CN"/>
        </w:rPr>
      </w:pPr>
      <w:r w:rsidRPr="00DE613C">
        <w:rPr>
          <w:rFonts w:eastAsiaTheme="minorEastAsia"/>
          <w:kern w:val="2"/>
          <w:lang w:eastAsia="zh-CN"/>
        </w:rPr>
        <w:t xml:space="preserve">Simulation using </w:t>
      </w:r>
      <w:r>
        <w:rPr>
          <w:rFonts w:eastAsiaTheme="minorEastAsia"/>
          <w:kern w:val="2"/>
          <w:lang w:eastAsia="zh-CN"/>
        </w:rPr>
        <w:t>time changed Brownian motion</w:t>
      </w:r>
    </w:p>
    <w:p w:rsidR="00244851" w:rsidRDefault="00244851" w:rsidP="00244851">
      <w:pPr>
        <w:pStyle w:val="ListParagraph"/>
        <w:tabs>
          <w:tab w:val="left" w:pos="6475"/>
        </w:tabs>
        <w:spacing w:line="360" w:lineRule="auto"/>
        <w:ind w:left="1080"/>
        <w:rPr>
          <w:rFonts w:eastAsiaTheme="minorEastAsia"/>
          <w:kern w:val="2"/>
          <w:lang w:eastAsia="zh-CN"/>
        </w:rPr>
      </w:pPr>
      <w:r>
        <w:rPr>
          <w:rFonts w:eastAsiaTheme="minorEastAsia"/>
          <w:kern w:val="2"/>
          <w:lang w:eastAsia="zh-CN"/>
        </w:rPr>
        <w:t>Variance-Gamma is a class of Levy process and can be described using the following form.</w:t>
      </w:r>
    </w:p>
    <w:p w:rsidR="00244851" w:rsidRDefault="007919ED" w:rsidP="00244851">
      <w:pPr>
        <w:pStyle w:val="ListParagraph"/>
        <w:tabs>
          <w:tab w:val="left" w:pos="6475"/>
        </w:tabs>
        <w:spacing w:line="360" w:lineRule="auto"/>
        <w:ind w:left="1080"/>
      </w:pPr>
      <w:r w:rsidRPr="007919ED">
        <w:rPr>
          <w:position w:val="-96"/>
        </w:rPr>
        <w:object w:dxaOrig="8580" w:dyaOrig="2560">
          <v:shape id="_x0000_i1034" type="#_x0000_t75" style="width:429pt;height:128pt" o:ole="">
            <v:imagedata r:id="rId22" o:title=""/>
          </v:shape>
          <o:OLEObject Type="Embed" ProgID="Equation.DSMT4" ShapeID="_x0000_i1034" DrawAspect="Content" ObjectID="_1463336355" r:id="rId23"/>
        </w:object>
      </w:r>
    </w:p>
    <w:p w:rsidR="00A92F22" w:rsidRDefault="00A92F22" w:rsidP="00244851">
      <w:pPr>
        <w:pStyle w:val="ListParagraph"/>
        <w:tabs>
          <w:tab w:val="left" w:pos="6475"/>
        </w:tabs>
        <w:spacing w:line="360" w:lineRule="auto"/>
        <w:ind w:left="1080"/>
      </w:pPr>
      <w:r>
        <w:t>We use the above formula to implement the following algorithm</w:t>
      </w:r>
    </w:p>
    <w:p w:rsidR="00A92F22" w:rsidRDefault="002A5468" w:rsidP="002A5468">
      <w:pPr>
        <w:pStyle w:val="ListParagraph"/>
        <w:numPr>
          <w:ilvl w:val="0"/>
          <w:numId w:val="3"/>
        </w:numPr>
        <w:tabs>
          <w:tab w:val="left" w:pos="6475"/>
        </w:tabs>
        <w:spacing w:line="360" w:lineRule="auto"/>
        <w:rPr>
          <w:rFonts w:eastAsiaTheme="minorEastAsia"/>
          <w:kern w:val="2"/>
          <w:lang w:eastAsia="zh-CN"/>
        </w:rPr>
      </w:pPr>
      <w:r>
        <w:rPr>
          <w:rFonts w:eastAsiaTheme="minorEastAsia"/>
          <w:kern w:val="2"/>
          <w:lang w:eastAsia="zh-CN"/>
        </w:rPr>
        <w:t xml:space="preserve">Generate </w:t>
      </w:r>
      <w:r w:rsidRPr="002A5468">
        <w:rPr>
          <w:rFonts w:eastAsiaTheme="minorEastAsia"/>
          <w:kern w:val="2"/>
          <w:position w:val="-34"/>
          <w:lang w:eastAsia="zh-CN"/>
        </w:rPr>
        <w:object w:dxaOrig="3800" w:dyaOrig="800">
          <v:shape id="_x0000_i1032" type="#_x0000_t75" style="width:190pt;height:40pt" o:ole="">
            <v:imagedata r:id="rId24" o:title=""/>
          </v:shape>
          <o:OLEObject Type="Embed" ProgID="Equation.DSMT4" ShapeID="_x0000_i1032" DrawAspect="Content" ObjectID="_1463336356" r:id="rId25"/>
        </w:object>
      </w:r>
      <w:r>
        <w:rPr>
          <w:rFonts w:eastAsiaTheme="minorEastAsia"/>
          <w:kern w:val="2"/>
          <w:lang w:eastAsia="zh-CN"/>
        </w:rPr>
        <w:t xml:space="preserve"> independently</w:t>
      </w:r>
    </w:p>
    <w:p w:rsidR="007919ED" w:rsidRDefault="007919ED" w:rsidP="002A5468">
      <w:pPr>
        <w:pStyle w:val="ListParagraph"/>
        <w:numPr>
          <w:ilvl w:val="0"/>
          <w:numId w:val="3"/>
        </w:numPr>
        <w:tabs>
          <w:tab w:val="left" w:pos="6475"/>
        </w:tabs>
        <w:spacing w:line="360" w:lineRule="auto"/>
        <w:rPr>
          <w:rFonts w:eastAsiaTheme="minorEastAsia"/>
          <w:kern w:val="2"/>
          <w:lang w:eastAsia="zh-CN"/>
        </w:rPr>
      </w:pPr>
      <w:r>
        <w:rPr>
          <w:rFonts w:eastAsiaTheme="minorEastAsia"/>
          <w:kern w:val="2"/>
          <w:lang w:eastAsia="zh-CN"/>
        </w:rPr>
        <w:t xml:space="preserve">Return </w:t>
      </w:r>
      <w:r w:rsidRPr="007919ED">
        <w:rPr>
          <w:rFonts w:eastAsiaTheme="minorEastAsia"/>
          <w:kern w:val="2"/>
          <w:position w:val="-40"/>
          <w:lang w:eastAsia="zh-CN"/>
        </w:rPr>
        <w:object w:dxaOrig="3680" w:dyaOrig="940">
          <v:shape id="_x0000_i1033" type="#_x0000_t75" style="width:184pt;height:47pt" o:ole="">
            <v:imagedata r:id="rId26" o:title=""/>
          </v:shape>
          <o:OLEObject Type="Embed" ProgID="Equation.DSMT4" ShapeID="_x0000_i1033" DrawAspect="Content" ObjectID="_1463336357" r:id="rId27"/>
        </w:object>
      </w:r>
      <w:r>
        <w:rPr>
          <w:rFonts w:eastAsiaTheme="minorEastAsia"/>
          <w:kern w:val="2"/>
          <w:lang w:eastAsia="zh-CN"/>
        </w:rPr>
        <w:t xml:space="preserve"> </w:t>
      </w:r>
    </w:p>
    <w:p w:rsidR="007919ED" w:rsidRPr="007919ED" w:rsidRDefault="007919ED" w:rsidP="007919ED">
      <w:pPr>
        <w:tabs>
          <w:tab w:val="left" w:pos="6475"/>
        </w:tabs>
        <w:spacing w:line="360" w:lineRule="auto"/>
        <w:rPr>
          <w:rFonts w:eastAsiaTheme="minorEastAsia"/>
          <w:kern w:val="2"/>
          <w:lang w:eastAsia="zh-CN"/>
        </w:rPr>
      </w:pPr>
    </w:p>
    <w:p w:rsidR="00DE613C" w:rsidRDefault="00DE613C" w:rsidP="00DE613C">
      <w:pPr>
        <w:pStyle w:val="ListParagraph"/>
        <w:numPr>
          <w:ilvl w:val="1"/>
          <w:numId w:val="1"/>
        </w:numPr>
        <w:tabs>
          <w:tab w:val="left" w:pos="6475"/>
        </w:tabs>
        <w:spacing w:line="360" w:lineRule="auto"/>
        <w:rPr>
          <w:rFonts w:eastAsiaTheme="minorEastAsia"/>
          <w:kern w:val="2"/>
          <w:lang w:eastAsia="zh-CN"/>
        </w:rPr>
      </w:pPr>
      <w:r>
        <w:rPr>
          <w:rFonts w:eastAsiaTheme="minorEastAsia"/>
          <w:kern w:val="2"/>
          <w:lang w:eastAsia="zh-CN"/>
        </w:rPr>
        <w:t>Importance Sampling</w:t>
      </w:r>
    </w:p>
    <w:p w:rsidR="007919ED" w:rsidRDefault="007919ED" w:rsidP="006B1EDC">
      <w:pPr>
        <w:pStyle w:val="ListParagraph"/>
        <w:ind w:left="1080"/>
      </w:pPr>
      <w:r>
        <w:t xml:space="preserve">Variance reduction </w:t>
      </w:r>
      <w:r w:rsidR="006B1EDC">
        <w:t>is</w:t>
      </w:r>
      <w:r>
        <w:t xml:space="preserve"> critical when pricing opti</w:t>
      </w:r>
      <w:r w:rsidR="006B1EDC">
        <w:t xml:space="preserve">ons that are deep out of money to reduce the </w:t>
      </w:r>
      <w:r>
        <w:t>standard error</w:t>
      </w:r>
      <w:r w:rsidR="006B1EDC">
        <w:t xml:space="preserve"> in estimation</w:t>
      </w:r>
      <w:r>
        <w:t xml:space="preserve">. </w:t>
      </w:r>
      <w:r w:rsidR="006B1EDC">
        <w:t xml:space="preserve">We use the </w:t>
      </w:r>
      <w:r>
        <w:t xml:space="preserve">Radon-Nikodym derivative </w:t>
      </w:r>
      <w:r w:rsidR="006B1EDC">
        <w:t>to change the probability measure to a new measure. Such a measure is presented in [2] and has the following form.</w:t>
      </w:r>
    </w:p>
    <w:p w:rsidR="006B1EDC" w:rsidRDefault="006B1EDC" w:rsidP="006B1EDC">
      <w:pPr>
        <w:jc w:val="center"/>
      </w:pPr>
      <w:r w:rsidRPr="006B1EDC">
        <w:rPr>
          <w:position w:val="-44"/>
        </w:rPr>
        <w:object w:dxaOrig="6520" w:dyaOrig="999">
          <v:shape id="_x0000_i1035" type="#_x0000_t75" style="width:326pt;height:49.95pt" o:ole="">
            <v:imagedata r:id="rId28" o:title=""/>
          </v:shape>
          <o:OLEObject Type="Embed" ProgID="Equation.DSMT4" ShapeID="_x0000_i1035" DrawAspect="Content" ObjectID="_1463336358" r:id="rId29"/>
        </w:object>
      </w:r>
    </w:p>
    <w:p w:rsidR="006B1EDC" w:rsidRDefault="006B1EDC" w:rsidP="006B1EDC">
      <w:pPr>
        <w:ind w:left="1080"/>
      </w:pPr>
      <w:r>
        <w:t>where</w:t>
      </w:r>
      <w:r w:rsidRPr="006B1EDC">
        <w:rPr>
          <w:position w:val="-36"/>
        </w:rPr>
        <w:object w:dxaOrig="3860" w:dyaOrig="859">
          <v:shape id="_x0000_i1036" type="#_x0000_t75" style="width:193pt;height:42.95pt" o:ole="">
            <v:imagedata r:id="rId30" o:title=""/>
          </v:shape>
          <o:OLEObject Type="Embed" ProgID="Equation.DSMT4" ShapeID="_x0000_i1036" DrawAspect="Content" ObjectID="_1463336359" r:id="rId31"/>
        </w:object>
      </w:r>
      <w:r>
        <w:t xml:space="preserve"> and </w:t>
      </w:r>
      <w:r w:rsidRPr="006B1EDC">
        <w:rPr>
          <w:position w:val="-14"/>
        </w:rPr>
        <w:object w:dxaOrig="380" w:dyaOrig="460">
          <v:shape id="_x0000_i1037" type="#_x0000_t75" style="width:19pt;height:23.35pt" o:ole="">
            <v:imagedata r:id="rId32" o:title=""/>
          </v:shape>
          <o:OLEObject Type="Embed" ProgID="Equation.DSMT4" ShapeID="_x0000_i1037" DrawAspect="Content" ObjectID="_1463336360" r:id="rId33"/>
        </w:object>
      </w:r>
      <w:r>
        <w:t xml:space="preserve"> are the independent process generated in the difference-of-gamma representation with new parameters</w:t>
      </w:r>
      <w:r w:rsidRPr="006B1EDC">
        <w:rPr>
          <w:position w:val="-16"/>
        </w:rPr>
        <w:object w:dxaOrig="1060" w:dyaOrig="440">
          <v:shape id="_x0000_i1038" type="#_x0000_t75" style="width:53pt;height:22pt" o:ole="">
            <v:imagedata r:id="rId34" o:title=""/>
          </v:shape>
          <o:OLEObject Type="Embed" ProgID="Equation.DSMT4" ShapeID="_x0000_i1038" DrawAspect="Content" ObjectID="_1463336361" r:id="rId35"/>
        </w:object>
      </w:r>
      <w:r>
        <w:t>.</w:t>
      </w:r>
    </w:p>
    <w:p w:rsidR="006B1EDC" w:rsidRDefault="006B1EDC" w:rsidP="006B1EDC">
      <w:pPr>
        <w:jc w:val="center"/>
      </w:pPr>
      <w:r w:rsidRPr="006B1EDC">
        <w:rPr>
          <w:position w:val="-80"/>
        </w:rPr>
        <w:object w:dxaOrig="9480" w:dyaOrig="1719">
          <v:shape id="_x0000_i1039" type="#_x0000_t75" style="width:474.45pt;height:85.35pt" o:ole="">
            <v:imagedata r:id="rId36" o:title=""/>
          </v:shape>
          <o:OLEObject Type="Embed" ProgID="Equation.DSMT4" ShapeID="_x0000_i1039" DrawAspect="Content" ObjectID="_1463336362" r:id="rId37"/>
        </w:object>
      </w:r>
    </w:p>
    <w:p w:rsidR="00205EF5" w:rsidRDefault="00205EF5" w:rsidP="007919ED">
      <w:pPr>
        <w:pStyle w:val="ListParagraph"/>
        <w:tabs>
          <w:tab w:val="left" w:pos="6475"/>
        </w:tabs>
        <w:spacing w:line="360" w:lineRule="auto"/>
        <w:ind w:left="1080"/>
        <w:rPr>
          <w:rFonts w:eastAsiaTheme="minorEastAsia"/>
          <w:kern w:val="2"/>
          <w:lang w:eastAsia="zh-CN"/>
        </w:rPr>
      </w:pPr>
    </w:p>
    <w:p w:rsidR="00DE613C" w:rsidRDefault="00DE613C" w:rsidP="00DE613C">
      <w:pPr>
        <w:pStyle w:val="ListParagraph"/>
        <w:numPr>
          <w:ilvl w:val="1"/>
          <w:numId w:val="1"/>
        </w:numPr>
        <w:tabs>
          <w:tab w:val="left" w:pos="6475"/>
        </w:tabs>
        <w:spacing w:line="360" w:lineRule="auto"/>
        <w:rPr>
          <w:rFonts w:eastAsiaTheme="minorEastAsia"/>
          <w:kern w:val="2"/>
          <w:lang w:eastAsia="zh-CN"/>
        </w:rPr>
      </w:pPr>
      <w:r>
        <w:rPr>
          <w:rFonts w:eastAsiaTheme="minorEastAsia"/>
          <w:kern w:val="2"/>
          <w:lang w:eastAsia="zh-CN"/>
        </w:rPr>
        <w:t>Control Variate</w:t>
      </w:r>
    </w:p>
    <w:p w:rsidR="00337159" w:rsidRDefault="00337159" w:rsidP="00337159">
      <w:pPr>
        <w:pStyle w:val="ListParagraph"/>
        <w:tabs>
          <w:tab w:val="left" w:pos="6475"/>
        </w:tabs>
        <w:spacing w:line="240" w:lineRule="auto"/>
        <w:ind w:left="1080"/>
      </w:pPr>
      <w:r w:rsidRPr="00337159">
        <w:t>Control Variate is an effective technique to reduce variance in an estimator based on variance of another variable whose expected value is known</w:t>
      </w:r>
      <w:r>
        <w:t>. It has the following general form.</w:t>
      </w:r>
    </w:p>
    <w:p w:rsidR="00337159" w:rsidRDefault="00337159" w:rsidP="00337159">
      <w:pPr>
        <w:pStyle w:val="ListParagraph"/>
        <w:tabs>
          <w:tab w:val="left" w:pos="6475"/>
        </w:tabs>
        <w:spacing w:line="240" w:lineRule="auto"/>
        <w:ind w:left="2880"/>
      </w:pPr>
      <w:r w:rsidRPr="00337159">
        <w:rPr>
          <w:position w:val="-34"/>
        </w:rPr>
        <w:object w:dxaOrig="3300" w:dyaOrig="859">
          <v:shape id="_x0000_i1040" type="#_x0000_t75" style="width:165pt;height:42.95pt" o:ole="">
            <v:imagedata r:id="rId38" o:title=""/>
          </v:shape>
          <o:OLEObject Type="Embed" ProgID="Equation.DSMT4" ShapeID="_x0000_i1040" DrawAspect="Content" ObjectID="_1463336363" r:id="rId39"/>
        </w:object>
      </w:r>
      <w:r>
        <w:t xml:space="preserve"> </w:t>
      </w:r>
    </w:p>
    <w:p w:rsidR="00641704" w:rsidRDefault="00337159" w:rsidP="0099175C">
      <w:pPr>
        <w:pStyle w:val="ListParagraph"/>
        <w:tabs>
          <w:tab w:val="left" w:pos="6475"/>
        </w:tabs>
        <w:spacing w:line="240" w:lineRule="auto"/>
        <w:ind w:left="1080"/>
        <w:jc w:val="both"/>
      </w:pPr>
      <w:r>
        <w:t xml:space="preserve">We develop the Control Variate technique to price discreetly monitored geometric </w:t>
      </w:r>
      <w:r w:rsidR="00B36DDD">
        <w:t>Asian option with fixed strike. Since Asian options are path-dependent, we use the price of the same option from the Black-Scholes framework where the analytical price is known as a Control Variate.</w:t>
      </w:r>
      <w:r w:rsidR="00E84AFB">
        <w:t xml:space="preserve"> Further we benchmark the results against the price from the Fourier transform technique.</w:t>
      </w:r>
    </w:p>
    <w:p w:rsidR="00205EF5" w:rsidRDefault="00205EF5" w:rsidP="0099175C">
      <w:pPr>
        <w:pStyle w:val="ListParagraph"/>
        <w:tabs>
          <w:tab w:val="left" w:pos="6475"/>
        </w:tabs>
        <w:spacing w:line="240" w:lineRule="auto"/>
        <w:ind w:left="1080"/>
        <w:jc w:val="both"/>
      </w:pPr>
    </w:p>
    <w:p w:rsidR="00337159" w:rsidRPr="00337159" w:rsidRDefault="00337159" w:rsidP="00337159">
      <w:pPr>
        <w:pStyle w:val="ListParagraph"/>
        <w:tabs>
          <w:tab w:val="left" w:pos="6475"/>
        </w:tabs>
        <w:spacing w:line="240" w:lineRule="auto"/>
        <w:ind w:left="1080"/>
      </w:pPr>
    </w:p>
    <w:p w:rsidR="00DE613C" w:rsidRDefault="00DE613C" w:rsidP="00DE613C">
      <w:pPr>
        <w:pStyle w:val="ListParagraph"/>
        <w:numPr>
          <w:ilvl w:val="1"/>
          <w:numId w:val="1"/>
        </w:numPr>
        <w:tabs>
          <w:tab w:val="left" w:pos="6475"/>
        </w:tabs>
        <w:spacing w:line="360" w:lineRule="auto"/>
        <w:rPr>
          <w:rFonts w:eastAsiaTheme="minorEastAsia"/>
          <w:kern w:val="2"/>
          <w:lang w:eastAsia="zh-CN"/>
        </w:rPr>
      </w:pPr>
      <w:r>
        <w:rPr>
          <w:rFonts w:eastAsiaTheme="minorEastAsia"/>
          <w:kern w:val="2"/>
          <w:lang w:eastAsia="zh-CN"/>
        </w:rPr>
        <w:t>Gamma Bridge Sampling</w:t>
      </w:r>
      <w:r w:rsidR="00641704">
        <w:rPr>
          <w:rFonts w:eastAsiaTheme="minorEastAsia"/>
          <w:kern w:val="2"/>
          <w:lang w:eastAsia="zh-CN"/>
        </w:rPr>
        <w:t xml:space="preserve"> with stratification</w:t>
      </w:r>
    </w:p>
    <w:p w:rsidR="0099175C" w:rsidRPr="0099175C" w:rsidRDefault="0099175C" w:rsidP="0099175C">
      <w:pPr>
        <w:pStyle w:val="ListParagraph"/>
        <w:tabs>
          <w:tab w:val="left" w:pos="6475"/>
        </w:tabs>
        <w:spacing w:after="0" w:line="240" w:lineRule="auto"/>
        <w:ind w:left="1080"/>
        <w:jc w:val="both"/>
      </w:pPr>
      <w:r w:rsidRPr="0099175C">
        <w:t xml:space="preserve">Similar to the case of Geometric Brownian Motion we stratify the terminal distribution of the Gamma random variable and </w:t>
      </w:r>
      <w:r>
        <w:t xml:space="preserve">use that to generate a Gamma bridge. We use the Time-Changed representation as suggested in [2] for the Gamma Bridge to generate the price path and subsequently the payoff. Then we use the optimal allocation algorithm to generate and estimate for the price of the Asian option. </w:t>
      </w:r>
    </w:p>
    <w:p w:rsidR="00DE613C" w:rsidRDefault="00DE613C" w:rsidP="0099175C">
      <w:pPr>
        <w:pStyle w:val="ListParagraph"/>
        <w:tabs>
          <w:tab w:val="left" w:pos="6475"/>
        </w:tabs>
        <w:spacing w:line="240" w:lineRule="auto"/>
        <w:ind w:left="1080"/>
        <w:rPr>
          <w:rFonts w:eastAsiaTheme="minorEastAsia"/>
          <w:kern w:val="2"/>
          <w:lang w:eastAsia="zh-CN"/>
        </w:rPr>
      </w:pPr>
    </w:p>
    <w:p w:rsidR="0099175C" w:rsidRDefault="0099175C" w:rsidP="00205EF5">
      <w:pPr>
        <w:pStyle w:val="ListParagraph"/>
        <w:tabs>
          <w:tab w:val="left" w:pos="6475"/>
        </w:tabs>
        <w:spacing w:after="0" w:line="240" w:lineRule="auto"/>
        <w:ind w:left="1080"/>
        <w:rPr>
          <w:rFonts w:eastAsiaTheme="minorEastAsia"/>
          <w:kern w:val="2"/>
          <w:lang w:eastAsia="zh-CN"/>
        </w:rPr>
      </w:pPr>
      <w:r>
        <w:rPr>
          <w:rFonts w:eastAsiaTheme="minorEastAsia"/>
          <w:kern w:val="2"/>
          <w:lang w:eastAsia="zh-CN"/>
        </w:rPr>
        <w:t>The central idea is that path for a VG process i</w:t>
      </w:r>
      <w:r w:rsidR="00952ED7">
        <w:rPr>
          <w:rFonts w:eastAsiaTheme="minorEastAsia"/>
          <w:kern w:val="2"/>
          <w:lang w:eastAsia="zh-CN"/>
        </w:rPr>
        <w:t>s</w:t>
      </w:r>
      <w:r>
        <w:rPr>
          <w:rFonts w:eastAsiaTheme="minorEastAsia"/>
          <w:kern w:val="2"/>
          <w:lang w:eastAsia="zh-CN"/>
        </w:rPr>
        <w:t xml:space="preserve"> </w:t>
      </w:r>
      <w:r w:rsidR="00952ED7">
        <w:rPr>
          <w:rFonts w:eastAsiaTheme="minorEastAsia"/>
          <w:kern w:val="2"/>
          <w:lang w:eastAsia="zh-CN"/>
        </w:rPr>
        <w:t>in</w:t>
      </w:r>
      <w:r>
        <w:rPr>
          <w:rFonts w:eastAsiaTheme="minorEastAsia"/>
          <w:kern w:val="2"/>
          <w:lang w:eastAsia="zh-CN"/>
        </w:rPr>
        <w:t>creasing.</w:t>
      </w:r>
      <w:r w:rsidR="00952ED7">
        <w:rPr>
          <w:rFonts w:eastAsiaTheme="minorEastAsia"/>
          <w:kern w:val="2"/>
          <w:lang w:eastAsia="zh-CN"/>
        </w:rPr>
        <w:t xml:space="preserve"> Then for any time </w:t>
      </w:r>
      <w:r w:rsidR="00952ED7" w:rsidRPr="00952ED7">
        <w:rPr>
          <w:rFonts w:eastAsiaTheme="minorEastAsia"/>
          <w:kern w:val="2"/>
          <w:position w:val="-14"/>
          <w:lang w:eastAsia="zh-CN"/>
        </w:rPr>
        <w:object w:dxaOrig="1840" w:dyaOrig="420">
          <v:shape id="_x0000_i1041" type="#_x0000_t75" style="width:92pt;height:21pt" o:ole="">
            <v:imagedata r:id="rId40" o:title=""/>
          </v:shape>
          <o:OLEObject Type="Embed" ProgID="Equation.DSMT4" ShapeID="_x0000_i1041" DrawAspect="Content" ObjectID="_1463336364" r:id="rId41"/>
        </w:object>
      </w:r>
      <w:r w:rsidR="00952ED7">
        <w:rPr>
          <w:rFonts w:eastAsiaTheme="minorEastAsia"/>
          <w:kern w:val="2"/>
          <w:lang w:eastAsia="zh-CN"/>
        </w:rPr>
        <w:t xml:space="preserve"> the conditional distribution of </w:t>
      </w:r>
      <w:r w:rsidR="00952ED7" w:rsidRPr="00952ED7">
        <w:rPr>
          <w:rFonts w:eastAsiaTheme="minorEastAsia"/>
          <w:kern w:val="2"/>
          <w:position w:val="-34"/>
          <w:lang w:eastAsia="zh-CN"/>
        </w:rPr>
        <w:object w:dxaOrig="5940" w:dyaOrig="800">
          <v:shape id="_x0000_i1042" type="#_x0000_t75" style="width:297pt;height:40pt" o:ole="">
            <v:imagedata r:id="rId42" o:title=""/>
          </v:shape>
          <o:OLEObject Type="Embed" ProgID="Equation.DSMT4" ShapeID="_x0000_i1042" DrawAspect="Content" ObjectID="_1463336365" r:id="rId43"/>
        </w:object>
      </w:r>
      <w:r w:rsidR="00952ED7">
        <w:rPr>
          <w:rFonts w:eastAsiaTheme="minorEastAsia"/>
          <w:kern w:val="2"/>
          <w:lang w:eastAsia="zh-CN"/>
        </w:rPr>
        <w:t xml:space="preserve"> . Details of the algorithm can be found in [2]</w:t>
      </w:r>
    </w:p>
    <w:p w:rsidR="00DE66AD" w:rsidRDefault="00DE66AD" w:rsidP="00952ED7">
      <w:pPr>
        <w:pStyle w:val="ListParagraph"/>
        <w:tabs>
          <w:tab w:val="left" w:pos="6475"/>
        </w:tabs>
        <w:spacing w:line="240" w:lineRule="auto"/>
        <w:ind w:left="1080"/>
        <w:rPr>
          <w:rFonts w:eastAsiaTheme="minorEastAsia"/>
          <w:kern w:val="2"/>
          <w:lang w:eastAsia="zh-CN"/>
        </w:rPr>
      </w:pPr>
    </w:p>
    <w:p w:rsidR="00DE66AD" w:rsidRDefault="00DE66AD" w:rsidP="00952ED7">
      <w:pPr>
        <w:pStyle w:val="ListParagraph"/>
        <w:tabs>
          <w:tab w:val="left" w:pos="6475"/>
        </w:tabs>
        <w:spacing w:line="240" w:lineRule="auto"/>
        <w:ind w:left="1080"/>
        <w:rPr>
          <w:rFonts w:eastAsiaTheme="minorEastAsia"/>
          <w:kern w:val="2"/>
          <w:lang w:eastAsia="zh-CN"/>
        </w:rPr>
      </w:pPr>
    </w:p>
    <w:p w:rsidR="00E848C0" w:rsidRDefault="00E848C0" w:rsidP="00952ED7">
      <w:pPr>
        <w:pStyle w:val="ListParagraph"/>
        <w:tabs>
          <w:tab w:val="left" w:pos="6475"/>
        </w:tabs>
        <w:spacing w:line="240" w:lineRule="auto"/>
        <w:ind w:left="1080"/>
        <w:rPr>
          <w:rFonts w:eastAsiaTheme="minorEastAsia"/>
          <w:kern w:val="2"/>
          <w:lang w:eastAsia="zh-CN"/>
        </w:rPr>
      </w:pPr>
    </w:p>
    <w:p w:rsidR="00DE66AD" w:rsidRDefault="00DE66AD" w:rsidP="00DE66AD">
      <w:pPr>
        <w:pStyle w:val="ListParagraph"/>
        <w:numPr>
          <w:ilvl w:val="1"/>
          <w:numId w:val="1"/>
        </w:numPr>
        <w:tabs>
          <w:tab w:val="left" w:pos="6475"/>
        </w:tabs>
        <w:spacing w:line="360" w:lineRule="auto"/>
        <w:rPr>
          <w:rFonts w:eastAsiaTheme="minorEastAsia"/>
          <w:kern w:val="2"/>
          <w:lang w:eastAsia="zh-CN"/>
        </w:rPr>
      </w:pPr>
      <w:r>
        <w:rPr>
          <w:rFonts w:eastAsiaTheme="minorEastAsia"/>
          <w:kern w:val="2"/>
          <w:lang w:eastAsia="zh-CN"/>
        </w:rPr>
        <w:lastRenderedPageBreak/>
        <w:t>Pathwise estimation of Greeks</w:t>
      </w:r>
    </w:p>
    <w:p w:rsidR="00DE66AD" w:rsidRDefault="00DE66AD" w:rsidP="00DE66AD">
      <w:pPr>
        <w:ind w:left="360" w:firstLine="720"/>
      </w:pPr>
      <w:r>
        <w:t xml:space="preserve">Suppose the price is given by </w:t>
      </w:r>
    </w:p>
    <w:p w:rsidR="00DE66AD" w:rsidRDefault="00DE66AD" w:rsidP="00DE66AD">
      <w:pPr>
        <w:jc w:val="center"/>
      </w:pPr>
      <w:r w:rsidRPr="00DE66AD">
        <w:rPr>
          <w:position w:val="-18"/>
        </w:rPr>
        <w:object w:dxaOrig="2840" w:dyaOrig="499">
          <v:shape id="_x0000_i1043" type="#_x0000_t75" style="width:142pt;height:25.3pt" o:ole="">
            <v:imagedata r:id="rId44" o:title=""/>
          </v:shape>
          <o:OLEObject Type="Embed" ProgID="Equation.DSMT4" ShapeID="_x0000_i1043" DrawAspect="Content" ObjectID="_1463336366" r:id="rId45"/>
        </w:object>
      </w:r>
      <w:r>
        <w:t>,</w:t>
      </w:r>
    </w:p>
    <w:p w:rsidR="00DE66AD" w:rsidRDefault="00BC3775" w:rsidP="00BC3775">
      <w:pPr>
        <w:ind w:left="720"/>
      </w:pPr>
      <w:r>
        <w:t xml:space="preserve">     </w:t>
      </w:r>
      <w:r w:rsidRPr="00BC3775">
        <w:rPr>
          <w:position w:val="-6"/>
        </w:rPr>
        <w:object w:dxaOrig="240" w:dyaOrig="240">
          <v:shape id="_x0000_i1045" type="#_x0000_t75" style="width:12pt;height:12pt" o:ole="">
            <v:imagedata r:id="rId46" o:title=""/>
          </v:shape>
          <o:OLEObject Type="Embed" ProgID="Equation.DSMT4" ShapeID="_x0000_i1045" DrawAspect="Content" ObjectID="_1463336367" r:id="rId47"/>
        </w:object>
      </w:r>
      <w:r>
        <w:t xml:space="preserve">  the</w:t>
      </w:r>
      <w:r w:rsidR="00DE66AD">
        <w:t xml:space="preserve"> sensitivity is</w:t>
      </w:r>
    </w:p>
    <w:p w:rsidR="00DE66AD" w:rsidRDefault="00BC3775" w:rsidP="00DE66AD">
      <w:pPr>
        <w:jc w:val="center"/>
      </w:pPr>
      <w:r w:rsidRPr="00BC3775">
        <w:rPr>
          <w:position w:val="-42"/>
        </w:rPr>
        <w:object w:dxaOrig="6600" w:dyaOrig="980">
          <v:shape id="_x0000_i1044" type="#_x0000_t75" style="width:330.35pt;height:49.35pt" o:ole="">
            <v:imagedata r:id="rId48" o:title=""/>
          </v:shape>
          <o:OLEObject Type="Embed" ProgID="Equation.DSMT4" ShapeID="_x0000_i1044" DrawAspect="Content" ObjectID="_1463336368" r:id="rId49"/>
        </w:object>
      </w:r>
      <w:r w:rsidR="00DE66AD">
        <w:t>.</w:t>
      </w:r>
    </w:p>
    <w:p w:rsidR="00BC3775" w:rsidRDefault="00BC3775" w:rsidP="00BC3775">
      <w:pPr>
        <w:ind w:left="720"/>
      </w:pPr>
      <w:r>
        <w:t xml:space="preserve"> Under certain conditions the expectation operator and the derivative operator can be interchanged. These conditions are satisfied for European options</w:t>
      </w:r>
      <w:r w:rsidR="0025175F">
        <w:t>. Differentiating the payoff and using stock price derivatives suggested in [2] we get the following results</w:t>
      </w:r>
    </w:p>
    <w:p w:rsidR="00205EF5" w:rsidRDefault="00205EF5" w:rsidP="00BC3775">
      <w:pPr>
        <w:ind w:left="720"/>
      </w:pPr>
      <w:r w:rsidRPr="00205EF5">
        <w:rPr>
          <w:position w:val="-78"/>
        </w:rPr>
        <w:object w:dxaOrig="9800" w:dyaOrig="1680">
          <v:shape id="_x0000_i1047" type="#_x0000_t75" style="width:490pt;height:84pt" o:ole="">
            <v:imagedata r:id="rId50" o:title=""/>
          </v:shape>
          <o:OLEObject Type="Embed" ProgID="Equation.DSMT4" ShapeID="_x0000_i1047" DrawAspect="Content" ObjectID="_1463336369" r:id="rId51"/>
        </w:object>
      </w:r>
    </w:p>
    <w:p w:rsidR="00BC3775" w:rsidRDefault="00205EF5" w:rsidP="006859A6">
      <w:pPr>
        <w:ind w:left="720"/>
      </w:pPr>
      <w:r w:rsidRPr="00205EF5">
        <w:rPr>
          <w:position w:val="-158"/>
        </w:rPr>
        <w:object w:dxaOrig="8480" w:dyaOrig="3300">
          <v:shape id="_x0000_i1046" type="#_x0000_t75" style="width:423.15pt;height:182.15pt" o:ole="">
            <v:imagedata r:id="rId52" o:title=""/>
          </v:shape>
          <o:OLEObject Type="Embed" ProgID="Equation.DSMT4" ShapeID="_x0000_i1046" DrawAspect="Content" ObjectID="_1463336370" r:id="rId53"/>
        </w:object>
      </w:r>
    </w:p>
    <w:p w:rsidR="00E848C0" w:rsidRDefault="005C7D67" w:rsidP="005C7D67">
      <w:r>
        <w:t>We benchmark the results from the pathwise method with results from crude Monte Carlo using finite difference method. We also use Fourier based estimates for Delta, Gamma and Rho for benchmarking results.</w:t>
      </w:r>
    </w:p>
    <w:p w:rsidR="00AC1B4A" w:rsidRDefault="00AC1B4A" w:rsidP="005C7D67">
      <w:pPr>
        <w:rPr>
          <w:rFonts w:eastAsiaTheme="minorEastAsia"/>
          <w:kern w:val="2"/>
          <w:lang w:eastAsia="zh-CN"/>
        </w:rPr>
      </w:pPr>
    </w:p>
    <w:p w:rsidR="00B57EC9" w:rsidRDefault="00B57EC9" w:rsidP="005C7D67">
      <w:pPr>
        <w:rPr>
          <w:rFonts w:eastAsiaTheme="minorEastAsia"/>
          <w:kern w:val="2"/>
          <w:lang w:eastAsia="zh-CN"/>
        </w:rPr>
      </w:pPr>
    </w:p>
    <w:p w:rsidR="00B57EC9" w:rsidRDefault="00B57EC9" w:rsidP="005C7D67">
      <w:pPr>
        <w:rPr>
          <w:rFonts w:eastAsiaTheme="minorEastAsia"/>
          <w:kern w:val="2"/>
          <w:lang w:eastAsia="zh-CN"/>
        </w:rPr>
      </w:pPr>
    </w:p>
    <w:p w:rsidR="00B57EC9" w:rsidRDefault="00B57EC9" w:rsidP="005C7D67">
      <w:pPr>
        <w:rPr>
          <w:rFonts w:eastAsiaTheme="minorEastAsia"/>
          <w:kern w:val="2"/>
          <w:lang w:eastAsia="zh-CN"/>
        </w:rPr>
      </w:pPr>
    </w:p>
    <w:p w:rsidR="00B57EC9" w:rsidRDefault="00B57EC9" w:rsidP="005C7D67">
      <w:pPr>
        <w:rPr>
          <w:rFonts w:eastAsiaTheme="minorEastAsia"/>
          <w:kern w:val="2"/>
          <w:lang w:eastAsia="zh-CN"/>
        </w:rPr>
      </w:pPr>
    </w:p>
    <w:p w:rsidR="00B57EC9" w:rsidRDefault="00B57EC9" w:rsidP="005C7D67">
      <w:pPr>
        <w:rPr>
          <w:rFonts w:eastAsiaTheme="minorEastAsia"/>
          <w:kern w:val="2"/>
          <w:lang w:eastAsia="zh-CN"/>
        </w:rPr>
      </w:pPr>
    </w:p>
    <w:p w:rsidR="00B57EC9" w:rsidRDefault="00B57EC9" w:rsidP="005C7D67">
      <w:pPr>
        <w:rPr>
          <w:rFonts w:eastAsiaTheme="minorEastAsia"/>
          <w:kern w:val="2"/>
          <w:lang w:eastAsia="zh-CN"/>
        </w:rPr>
      </w:pPr>
    </w:p>
    <w:p w:rsidR="00B57EC9" w:rsidRDefault="00B57EC9" w:rsidP="005C7D67">
      <w:pPr>
        <w:rPr>
          <w:rFonts w:eastAsiaTheme="minorEastAsia"/>
          <w:kern w:val="2"/>
          <w:lang w:eastAsia="zh-CN"/>
        </w:rPr>
      </w:pPr>
    </w:p>
    <w:p w:rsidR="00E848C0" w:rsidRPr="00DE613C" w:rsidRDefault="00E848C0" w:rsidP="00952ED7">
      <w:pPr>
        <w:pStyle w:val="ListParagraph"/>
        <w:tabs>
          <w:tab w:val="left" w:pos="6475"/>
        </w:tabs>
        <w:spacing w:line="240" w:lineRule="auto"/>
        <w:ind w:left="1080"/>
        <w:rPr>
          <w:rFonts w:eastAsiaTheme="minorEastAsia"/>
          <w:kern w:val="2"/>
          <w:lang w:eastAsia="zh-CN"/>
        </w:rPr>
      </w:pPr>
    </w:p>
    <w:p w:rsidR="00B326F5" w:rsidRDefault="00DA6800" w:rsidP="00DA6800">
      <w:pPr>
        <w:pStyle w:val="ListParagraph"/>
        <w:numPr>
          <w:ilvl w:val="0"/>
          <w:numId w:val="1"/>
        </w:numPr>
        <w:tabs>
          <w:tab w:val="left" w:pos="6475"/>
        </w:tabs>
        <w:spacing w:line="360" w:lineRule="auto"/>
        <w:rPr>
          <w:rFonts w:eastAsiaTheme="minorEastAsia"/>
          <w:b/>
          <w:kern w:val="2"/>
          <w:lang w:eastAsia="zh-CN"/>
        </w:rPr>
      </w:pPr>
      <w:r w:rsidRPr="00DA6800">
        <w:rPr>
          <w:rFonts w:eastAsiaTheme="minorEastAsia"/>
          <w:b/>
          <w:kern w:val="2"/>
          <w:lang w:eastAsia="zh-CN"/>
        </w:rPr>
        <w:t>Results</w:t>
      </w:r>
    </w:p>
    <w:p w:rsidR="00B57EC9" w:rsidRPr="0069289D" w:rsidRDefault="00B57EC9" w:rsidP="00B57EC9">
      <w:pPr>
        <w:tabs>
          <w:tab w:val="left" w:pos="6475"/>
        </w:tabs>
        <w:spacing w:line="360" w:lineRule="auto"/>
      </w:pPr>
      <w:r w:rsidRPr="0069289D">
        <w:t xml:space="preserve">As </w:t>
      </w:r>
      <w:r w:rsidRPr="0069289D">
        <w:object w:dxaOrig="220" w:dyaOrig="200">
          <v:shape id="_x0000_i1048" type="#_x0000_t75" style="width:11pt;height:10pt" o:ole="">
            <v:imagedata r:id="rId54" o:title=""/>
          </v:shape>
          <o:OLEObject Type="Embed" ProgID="Equation.DSMT4" ShapeID="_x0000_i1048" DrawAspect="Content" ObjectID="_1463336371" r:id="rId55"/>
        </w:object>
      </w:r>
      <w:r w:rsidRPr="0069289D">
        <w:t xml:space="preserve"> increases the VG density becomes more peaked. As </w:t>
      </w:r>
      <w:r w:rsidRPr="0069289D">
        <w:object w:dxaOrig="220" w:dyaOrig="200">
          <v:shape id="_x0000_i1049" type="#_x0000_t75" style="width:11pt;height:10pt" o:ole="">
            <v:imagedata r:id="rId56" o:title=""/>
          </v:shape>
          <o:OLEObject Type="Embed" ProgID="Equation.DSMT4" ShapeID="_x0000_i1049" DrawAspect="Content" ObjectID="_1463336372" r:id="rId57"/>
        </w:object>
      </w:r>
      <w:r w:rsidRPr="0069289D">
        <w:t xml:space="preserve"> increases the density becomes wider. As </w:t>
      </w:r>
      <w:r w:rsidRPr="0069289D">
        <w:object w:dxaOrig="200" w:dyaOrig="260">
          <v:shape id="_x0000_i1050" type="#_x0000_t75" style="width:10pt;height:13pt" o:ole="">
            <v:imagedata r:id="rId58" o:title=""/>
          </v:shape>
          <o:OLEObject Type="Embed" ProgID="Equation.DSMT4" ShapeID="_x0000_i1050" DrawAspect="Content" ObjectID="_1463336373" r:id="rId59"/>
        </w:object>
      </w:r>
      <w:r w:rsidRPr="0069289D">
        <w:t xml:space="preserve"> increases the density becomes more skewed. </w:t>
      </w:r>
      <w:r w:rsidR="00852EA0">
        <w:t xml:space="preserve">As time increases the density becomes less peaked and we can see the density behaves more like Gaussian density. </w:t>
      </w:r>
      <w:r w:rsidRPr="0069289D">
        <w:t xml:space="preserve">We can see this behavior in the </w:t>
      </w:r>
      <w:r w:rsidR="00885DD3">
        <w:t>following graphs.</w:t>
      </w:r>
    </w:p>
    <w:p w:rsidR="00B57EC9" w:rsidRDefault="00B57EC9" w:rsidP="00B57EC9">
      <w:pPr>
        <w:pStyle w:val="ListParagraph"/>
        <w:tabs>
          <w:tab w:val="left" w:pos="6475"/>
        </w:tabs>
        <w:spacing w:line="360" w:lineRule="auto"/>
        <w:ind w:left="360"/>
        <w:rPr>
          <w:rFonts w:eastAsiaTheme="minorEastAsia"/>
          <w:b/>
          <w:kern w:val="2"/>
          <w:lang w:eastAsia="zh-CN"/>
        </w:rPr>
      </w:pPr>
    </w:p>
    <w:p w:rsidR="00B57EC9" w:rsidRDefault="00B57EC9" w:rsidP="00B57EC9">
      <w:pPr>
        <w:pStyle w:val="ListParagraph"/>
        <w:tabs>
          <w:tab w:val="left" w:pos="6475"/>
        </w:tabs>
        <w:spacing w:line="360" w:lineRule="auto"/>
        <w:ind w:left="3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B57EC9">
        <w:rPr>
          <w:rFonts w:eastAsiaTheme="minorEastAsia"/>
          <w:b/>
          <w:noProof/>
          <w:kern w:val="2"/>
        </w:rPr>
        <w:drawing>
          <wp:inline distT="0" distB="0" distL="0" distR="0" wp14:anchorId="70F60798" wp14:editId="298E4370">
            <wp:extent cx="3599234" cy="3313430"/>
            <wp:effectExtent l="0" t="0" r="1270" b="1270"/>
            <wp:docPr id="8" name="Picture 8" descr="C:\Users\SonaliAndRohit\Documents\GitHub\VG-MonteCarlo\plots\VG density vs. 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SonaliAndRohit\Documents\GitHub\VG-MonteCarlo\plots\VG density vs. nu.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623263" cy="3335551"/>
                    </a:xfrm>
                    <a:prstGeom prst="rect">
                      <a:avLst/>
                    </a:prstGeom>
                    <a:noFill/>
                    <a:ln>
                      <a:noFill/>
                    </a:ln>
                  </pic:spPr>
                </pic:pic>
              </a:graphicData>
            </a:graphic>
          </wp:inline>
        </w:drawing>
      </w:r>
      <w:r w:rsidRPr="00B57EC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57EC9">
        <w:rPr>
          <w:rFonts w:eastAsiaTheme="minorEastAsia"/>
          <w:b/>
          <w:noProof/>
          <w:kern w:val="2"/>
        </w:rPr>
        <w:drawing>
          <wp:inline distT="0" distB="0" distL="0" distR="0">
            <wp:extent cx="3377610" cy="3307080"/>
            <wp:effectExtent l="0" t="0" r="0" b="7620"/>
            <wp:docPr id="9" name="Picture 9" descr="C:\Users\SonaliAndRohit\Documents\GitHub\VG-MonteCarlo\plots\VG density vs. 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SonaliAndRohit\Documents\GitHub\VG-MonteCarlo\plots\VG density vs. sigma.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390252" cy="3319458"/>
                    </a:xfrm>
                    <a:prstGeom prst="rect">
                      <a:avLst/>
                    </a:prstGeom>
                    <a:noFill/>
                    <a:ln>
                      <a:noFill/>
                    </a:ln>
                  </pic:spPr>
                </pic:pic>
              </a:graphicData>
            </a:graphic>
          </wp:inline>
        </w:drawing>
      </w:r>
    </w:p>
    <w:p w:rsidR="00B57EC9" w:rsidRDefault="00B57EC9" w:rsidP="00852EA0">
      <w:pPr>
        <w:pStyle w:val="ListParagraph"/>
        <w:tabs>
          <w:tab w:val="left" w:pos="6475"/>
        </w:tabs>
        <w:spacing w:line="360" w:lineRule="auto"/>
        <w:ind w:left="360"/>
        <w:rPr>
          <w:rFonts w:eastAsiaTheme="minorEastAsia"/>
          <w:b/>
          <w:kern w:val="2"/>
          <w:lang w:eastAsia="zh-CN"/>
        </w:rPr>
      </w:pPr>
      <w:r w:rsidRPr="00B57EC9">
        <w:rPr>
          <w:rFonts w:eastAsiaTheme="minorEastAsia"/>
          <w:b/>
          <w:noProof/>
          <w:kern w:val="2"/>
        </w:rPr>
        <w:drawing>
          <wp:inline distT="0" distB="0" distL="0" distR="0">
            <wp:extent cx="3656965" cy="3262009"/>
            <wp:effectExtent l="0" t="0" r="635" b="0"/>
            <wp:docPr id="10" name="Picture 10" descr="C:\Users\SonaliAndRohit\Documents\GitHub\VG-MonteCarlo\plots\VG density vs. 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SonaliAndRohit\Documents\GitHub\VG-MonteCarlo\plots\VG density vs. theta.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69435" cy="3273132"/>
                    </a:xfrm>
                    <a:prstGeom prst="rect">
                      <a:avLst/>
                    </a:prstGeom>
                    <a:noFill/>
                    <a:ln>
                      <a:noFill/>
                    </a:ln>
                  </pic:spPr>
                </pic:pic>
              </a:graphicData>
            </a:graphic>
          </wp:inline>
        </w:drawing>
      </w:r>
      <w:r w:rsidR="00852EA0" w:rsidRPr="00852EA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52EA0" w:rsidRPr="00852EA0">
        <w:rPr>
          <w:rFonts w:eastAsiaTheme="minorEastAsia"/>
          <w:b/>
          <w:noProof/>
          <w:kern w:val="2"/>
        </w:rPr>
        <w:drawing>
          <wp:inline distT="0" distB="0" distL="0" distR="0">
            <wp:extent cx="3267832" cy="3254794"/>
            <wp:effectExtent l="0" t="0" r="8890" b="3175"/>
            <wp:docPr id="11" name="Picture 11" descr="C:\Users\SonaliAndRohit\Documents\GitHub\VG-MonteCarlo\plots\VG density vs.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SonaliAndRohit\Documents\GitHub\VG-MonteCarlo\plots\VG density vs. Time.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77121" cy="3264046"/>
                    </a:xfrm>
                    <a:prstGeom prst="rect">
                      <a:avLst/>
                    </a:prstGeom>
                    <a:noFill/>
                    <a:ln>
                      <a:noFill/>
                    </a:ln>
                  </pic:spPr>
                </pic:pic>
              </a:graphicData>
            </a:graphic>
          </wp:inline>
        </w:drawing>
      </w:r>
    </w:p>
    <w:p w:rsidR="00B57EC9" w:rsidRDefault="00B57EC9" w:rsidP="00B57EC9">
      <w:pPr>
        <w:pStyle w:val="ListParagraph"/>
        <w:tabs>
          <w:tab w:val="left" w:pos="6475"/>
        </w:tabs>
        <w:spacing w:line="360" w:lineRule="auto"/>
        <w:ind w:left="360"/>
        <w:rPr>
          <w:rFonts w:eastAsiaTheme="minorEastAsia"/>
          <w:b/>
          <w:kern w:val="2"/>
          <w:lang w:eastAsia="zh-CN"/>
        </w:rPr>
      </w:pPr>
    </w:p>
    <w:p w:rsidR="00B57EC9" w:rsidRDefault="00B57EC9" w:rsidP="00B57EC9">
      <w:pPr>
        <w:pStyle w:val="ListParagraph"/>
        <w:tabs>
          <w:tab w:val="left" w:pos="6475"/>
        </w:tabs>
        <w:spacing w:line="360" w:lineRule="auto"/>
        <w:ind w:left="360"/>
        <w:rPr>
          <w:rFonts w:eastAsiaTheme="minorEastAsia"/>
          <w:b/>
          <w:kern w:val="2"/>
          <w:lang w:eastAsia="zh-CN"/>
        </w:rPr>
      </w:pPr>
    </w:p>
    <w:p w:rsidR="00D01F96" w:rsidRDefault="00D01F96" w:rsidP="00B57EC9">
      <w:pPr>
        <w:pStyle w:val="ListParagraph"/>
        <w:tabs>
          <w:tab w:val="left" w:pos="6475"/>
        </w:tabs>
        <w:spacing w:line="360" w:lineRule="auto"/>
        <w:ind w:left="360"/>
        <w:rPr>
          <w:rFonts w:eastAsiaTheme="minorEastAsia"/>
          <w:b/>
          <w:kern w:val="2"/>
          <w:lang w:eastAsia="zh-CN"/>
        </w:rPr>
      </w:pPr>
      <w:r w:rsidRPr="00D01F96">
        <w:rPr>
          <w:rFonts w:eastAsiaTheme="minorEastAsia"/>
          <w:b/>
          <w:noProof/>
          <w:kern w:val="2"/>
        </w:rPr>
        <w:lastRenderedPageBreak/>
        <w:drawing>
          <wp:inline distT="0" distB="0" distL="0" distR="0" wp14:anchorId="14F68D50" wp14:editId="5197E5DE">
            <wp:extent cx="3527898" cy="3416874"/>
            <wp:effectExtent l="0" t="0" r="0" b="0"/>
            <wp:docPr id="14" name="Picture 14" descr="C:\Users\SonaliAndRohit\Documents\GitHub\VG-MonteCarlo\plots\Strike price vs call option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SonaliAndRohit\Documents\GitHub\VG-MonteCarlo\plots\Strike price vs call option price.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558067" cy="3446094"/>
                    </a:xfrm>
                    <a:prstGeom prst="rect">
                      <a:avLst/>
                    </a:prstGeom>
                    <a:noFill/>
                    <a:ln>
                      <a:noFill/>
                    </a:ln>
                  </pic:spPr>
                </pic:pic>
              </a:graphicData>
            </a:graphic>
          </wp:inline>
        </w:drawing>
      </w:r>
      <w:r w:rsidRPr="00D01F96">
        <w:rPr>
          <w:rFonts w:eastAsiaTheme="minorEastAsia"/>
          <w:b/>
          <w:noProof/>
          <w:kern w:val="2"/>
        </w:rPr>
        <w:drawing>
          <wp:inline distT="0" distB="0" distL="0" distR="0" wp14:anchorId="4B5A4B24" wp14:editId="62018795">
            <wp:extent cx="3481378" cy="3410585"/>
            <wp:effectExtent l="0" t="0" r="5080" b="0"/>
            <wp:docPr id="15" name="Picture 15" descr="C:\Users\SonaliAndRohit\Documents\GitHub\VG-MonteCarlo\plots\Strike price vs put option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SonaliAndRohit\Documents\GitHub\VG-MonteCarlo\plots\Strike price vs put option price.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489963" cy="3418995"/>
                    </a:xfrm>
                    <a:prstGeom prst="rect">
                      <a:avLst/>
                    </a:prstGeom>
                    <a:noFill/>
                    <a:ln>
                      <a:noFill/>
                    </a:ln>
                  </pic:spPr>
                </pic:pic>
              </a:graphicData>
            </a:graphic>
          </wp:inline>
        </w:drawing>
      </w:r>
    </w:p>
    <w:p w:rsidR="00EE7B23" w:rsidRDefault="00D01F96" w:rsidP="00096251">
      <w:pPr>
        <w:pStyle w:val="ListParagraph"/>
        <w:tabs>
          <w:tab w:val="left" w:pos="6475"/>
        </w:tabs>
        <w:spacing w:line="240" w:lineRule="auto"/>
        <w:ind w:left="360"/>
        <w:rPr>
          <w:rFonts w:eastAsiaTheme="minorEastAsia"/>
          <w:kern w:val="2"/>
          <w:lang w:eastAsia="zh-CN"/>
        </w:rPr>
      </w:pPr>
      <w:r>
        <w:rPr>
          <w:rFonts w:eastAsiaTheme="minorEastAsia"/>
          <w:kern w:val="2"/>
          <w:lang w:eastAsia="zh-CN"/>
        </w:rPr>
        <w:t>In the above graph we compare the Black-Scholes options prices against VG option price for European calls and puts. We notice that Black-Scholes over estimates the price.</w:t>
      </w:r>
      <w:r w:rsidR="00EE7B23">
        <w:rPr>
          <w:rFonts w:eastAsiaTheme="minorEastAsia"/>
          <w:kern w:val="2"/>
          <w:lang w:eastAsia="zh-CN"/>
        </w:rPr>
        <w:t xml:space="preserve"> </w:t>
      </w:r>
    </w:p>
    <w:p w:rsidR="00EE7B23" w:rsidRDefault="00EE7B23" w:rsidP="00096251">
      <w:pPr>
        <w:pStyle w:val="ListParagraph"/>
        <w:tabs>
          <w:tab w:val="left" w:pos="6475"/>
        </w:tabs>
        <w:spacing w:line="240" w:lineRule="auto"/>
        <w:ind w:left="360"/>
        <w:rPr>
          <w:rFonts w:eastAsiaTheme="minorEastAsia"/>
          <w:kern w:val="2"/>
          <w:lang w:eastAsia="zh-CN"/>
        </w:rPr>
      </w:pPr>
    </w:p>
    <w:p w:rsidR="00EE7B23" w:rsidRDefault="00EE7B23" w:rsidP="00096251">
      <w:pPr>
        <w:pStyle w:val="ListParagraph"/>
        <w:tabs>
          <w:tab w:val="left" w:pos="6475"/>
        </w:tabs>
        <w:spacing w:line="240" w:lineRule="auto"/>
        <w:ind w:left="360"/>
        <w:rPr>
          <w:rFonts w:eastAsiaTheme="minorEastAsia"/>
          <w:kern w:val="2"/>
          <w:lang w:eastAsia="zh-CN"/>
        </w:rPr>
      </w:pPr>
      <w:r w:rsidRPr="00457391">
        <w:rPr>
          <w:rFonts w:eastAsiaTheme="minorEastAsia"/>
          <w:b/>
          <w:noProof/>
          <w:kern w:val="2"/>
          <w:lang w:eastAsia="zh-CN"/>
        </w:rPr>
        <mc:AlternateContent>
          <mc:Choice Requires="wps">
            <w:drawing>
              <wp:anchor distT="45720" distB="45720" distL="114300" distR="114300" simplePos="0" relativeHeight="251663360" behindDoc="0" locked="0" layoutInCell="1" allowOverlap="1" wp14:anchorId="00F3EC42" wp14:editId="28BB4D4F">
                <wp:simplePos x="0" y="0"/>
                <wp:positionH relativeFrom="column">
                  <wp:posOffset>4794520</wp:posOffset>
                </wp:positionH>
                <wp:positionV relativeFrom="paragraph">
                  <wp:posOffset>1092659</wp:posOffset>
                </wp:positionV>
                <wp:extent cx="2478405"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405" cy="1404620"/>
                        </a:xfrm>
                        <a:prstGeom prst="rect">
                          <a:avLst/>
                        </a:prstGeom>
                        <a:solidFill>
                          <a:srgbClr val="FFFFFF"/>
                        </a:solidFill>
                        <a:ln w="9525">
                          <a:noFill/>
                          <a:miter lim="800000"/>
                          <a:headEnd/>
                          <a:tailEnd/>
                        </a:ln>
                      </wps:spPr>
                      <wps:txbx>
                        <w:txbxContent>
                          <w:p w:rsidR="00172485" w:rsidRDefault="00172485" w:rsidP="00C175CD">
                            <w:pPr>
                              <w:jc w:val="both"/>
                            </w:pPr>
                            <w:r>
                              <w:t>To the left we compare the price of our crude Monte Carlo estimate against Carr-Madan formula. We see that the % absolute error in our price estimate is small.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3EC42" id="_x0000_s1028" type="#_x0000_t202" style="position:absolute;left:0;text-align:left;margin-left:377.5pt;margin-top:86.05pt;width:195.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" stroked="f">
                <v:textbox style="mso-fit-shape-to-text:t">
                  <w:txbxContent>
                    <w:p w:rsidR="00172485" w:rsidRDefault="00172485" w:rsidP="00C175CD">
                      <w:pPr>
                        <w:jc w:val="both"/>
                      </w:pPr>
                      <w:r>
                        <w:t>To the left we compare the price of our crude Monte Carlo estimate against Carr-Madan formula. We see that the % absolute error in our price estimate is small.</w:t>
                      </w:r>
                    </w:p>
                  </w:txbxContent>
                </v:textbox>
                <w10:wrap type="square"/>
              </v:shape>
            </w:pict>
          </mc:Fallback>
        </mc:AlternateContent>
      </w:r>
      <w:r w:rsidRPr="00457391">
        <w:rPr>
          <w:rFonts w:eastAsiaTheme="minorEastAsia"/>
          <w:b/>
          <w:noProof/>
          <w:kern w:val="2"/>
        </w:rPr>
        <w:drawing>
          <wp:inline distT="0" distB="0" distL="0" distR="0" wp14:anchorId="1810E4CF" wp14:editId="5B269032">
            <wp:extent cx="4415790" cy="3119336"/>
            <wp:effectExtent l="0" t="0" r="3810" b="5080"/>
            <wp:docPr id="12" name="Picture 12" descr="C:\Users\SonaliAndRohit\Documents\GitHub\VG-MonteCarlo\plots\MC-price-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SonaliAndRohit\Documents\GitHub\VG-MonteCarlo\plots\MC-price-benchmark.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432341" cy="3131028"/>
                    </a:xfrm>
                    <a:prstGeom prst="rect">
                      <a:avLst/>
                    </a:prstGeom>
                    <a:noFill/>
                    <a:ln>
                      <a:noFill/>
                    </a:ln>
                  </pic:spPr>
                </pic:pic>
              </a:graphicData>
            </a:graphic>
          </wp:inline>
        </w:drawing>
      </w:r>
    </w:p>
    <w:p w:rsidR="00EE7B23" w:rsidRDefault="00EE7B23" w:rsidP="00096251">
      <w:pPr>
        <w:pStyle w:val="ListParagraph"/>
        <w:tabs>
          <w:tab w:val="left" w:pos="6475"/>
        </w:tabs>
        <w:spacing w:line="240" w:lineRule="auto"/>
        <w:ind w:left="360"/>
        <w:rPr>
          <w:rFonts w:eastAsiaTheme="minorEastAsia"/>
          <w:kern w:val="2"/>
          <w:lang w:eastAsia="zh-CN"/>
        </w:rPr>
      </w:pPr>
    </w:p>
    <w:p w:rsidR="00D01F96" w:rsidRPr="00D01F96" w:rsidRDefault="00EE7B23" w:rsidP="00096251">
      <w:pPr>
        <w:pStyle w:val="ListParagraph"/>
        <w:tabs>
          <w:tab w:val="left" w:pos="6475"/>
        </w:tabs>
        <w:spacing w:line="240" w:lineRule="auto"/>
        <w:ind w:left="360"/>
        <w:rPr>
          <w:rFonts w:eastAsiaTheme="minorEastAsia"/>
          <w:kern w:val="2"/>
          <w:lang w:eastAsia="zh-CN"/>
        </w:rPr>
      </w:pPr>
      <w:r>
        <w:rPr>
          <w:rFonts w:eastAsiaTheme="minorEastAsia"/>
          <w:kern w:val="2"/>
          <w:lang w:eastAsia="zh-CN"/>
        </w:rPr>
        <w:t>Below we show results of prices for European Calls</w:t>
      </w:r>
      <w:r w:rsidR="00172485">
        <w:rPr>
          <w:rFonts w:eastAsiaTheme="minorEastAsia"/>
          <w:kern w:val="2"/>
          <w:lang w:eastAsia="zh-CN"/>
        </w:rPr>
        <w:t xml:space="preserve">, </w:t>
      </w:r>
      <w:r>
        <w:rPr>
          <w:rFonts w:eastAsiaTheme="minorEastAsia"/>
          <w:kern w:val="2"/>
          <w:lang w:eastAsia="zh-CN"/>
        </w:rPr>
        <w:t xml:space="preserve">Puts </w:t>
      </w:r>
      <w:r w:rsidR="00172485">
        <w:rPr>
          <w:rFonts w:eastAsiaTheme="minorEastAsia"/>
          <w:kern w:val="2"/>
          <w:lang w:eastAsia="zh-CN"/>
        </w:rPr>
        <w:t xml:space="preserve">and discretely monitored Geometric Asian option </w:t>
      </w:r>
      <w:r>
        <w:rPr>
          <w:rFonts w:eastAsiaTheme="minorEastAsia"/>
          <w:kern w:val="2"/>
          <w:lang w:eastAsia="zh-CN"/>
        </w:rPr>
        <w:t>using crude Monte Carlo estimation. We benchmark the prices against Carr-Madan estimates for prices. We see that our price estimates are close.</w:t>
      </w:r>
    </w:p>
    <w:p w:rsidR="00B57EC9" w:rsidRDefault="00B57EC9" w:rsidP="00B57EC9">
      <w:pPr>
        <w:pStyle w:val="ListParagraph"/>
        <w:tabs>
          <w:tab w:val="left" w:pos="6475"/>
        </w:tabs>
        <w:spacing w:line="360" w:lineRule="auto"/>
        <w:ind w:left="360"/>
        <w:rPr>
          <w:rFonts w:eastAsiaTheme="minorEastAsia"/>
          <w:b/>
          <w:kern w:val="2"/>
          <w:lang w:eastAsia="zh-CN"/>
        </w:rPr>
      </w:pPr>
    </w:p>
    <w:tbl>
      <w:tblPr>
        <w:tblStyle w:val="TableGrid"/>
        <w:tblW w:w="0" w:type="auto"/>
        <w:tblInd w:w="607" w:type="dxa"/>
        <w:tblLook w:val="04A0" w:firstRow="1" w:lastRow="0" w:firstColumn="1" w:lastColumn="0" w:noHBand="0" w:noVBand="1"/>
      </w:tblPr>
      <w:tblGrid>
        <w:gridCol w:w="1803"/>
        <w:gridCol w:w="1803"/>
        <w:gridCol w:w="1803"/>
        <w:gridCol w:w="1803"/>
        <w:gridCol w:w="1804"/>
      </w:tblGrid>
      <w:tr w:rsidR="00A47C1F" w:rsidTr="00172485">
        <w:tc>
          <w:tcPr>
            <w:tcW w:w="1803" w:type="dxa"/>
          </w:tcPr>
          <w:p w:rsidR="00A47C1F" w:rsidRDefault="00A47C1F" w:rsidP="00172485"/>
        </w:tc>
        <w:tc>
          <w:tcPr>
            <w:tcW w:w="3606" w:type="dxa"/>
            <w:gridSpan w:val="2"/>
          </w:tcPr>
          <w:p w:rsidR="00A47C1F" w:rsidRPr="006907A4" w:rsidRDefault="00A47C1F" w:rsidP="00172485">
            <w:pPr>
              <w:rPr>
                <w:b/>
                <w:sz w:val="22"/>
              </w:rPr>
            </w:pPr>
            <w:r w:rsidRPr="006907A4">
              <w:rPr>
                <w:b/>
                <w:sz w:val="22"/>
              </w:rPr>
              <w:t xml:space="preserve">European </w:t>
            </w:r>
            <w:r w:rsidRPr="006907A4">
              <w:rPr>
                <w:rFonts w:hint="eastAsia"/>
                <w:b/>
                <w:sz w:val="22"/>
              </w:rPr>
              <w:t>Call</w:t>
            </w:r>
          </w:p>
        </w:tc>
        <w:tc>
          <w:tcPr>
            <w:tcW w:w="3607" w:type="dxa"/>
            <w:gridSpan w:val="2"/>
          </w:tcPr>
          <w:p w:rsidR="00A47C1F" w:rsidRPr="006907A4" w:rsidRDefault="00A47C1F" w:rsidP="00172485">
            <w:pPr>
              <w:rPr>
                <w:b/>
                <w:sz w:val="22"/>
              </w:rPr>
            </w:pPr>
            <w:r w:rsidRPr="006907A4">
              <w:rPr>
                <w:b/>
                <w:sz w:val="22"/>
              </w:rPr>
              <w:t xml:space="preserve">European </w:t>
            </w:r>
            <w:r w:rsidRPr="006907A4">
              <w:rPr>
                <w:rFonts w:hint="eastAsia"/>
                <w:b/>
                <w:sz w:val="22"/>
              </w:rPr>
              <w:t>Put</w:t>
            </w:r>
          </w:p>
        </w:tc>
      </w:tr>
      <w:tr w:rsidR="00A47C1F" w:rsidTr="00172485">
        <w:tc>
          <w:tcPr>
            <w:tcW w:w="1803" w:type="dxa"/>
          </w:tcPr>
          <w:p w:rsidR="00A47C1F" w:rsidRDefault="00A47C1F" w:rsidP="00172485"/>
        </w:tc>
        <w:tc>
          <w:tcPr>
            <w:tcW w:w="1803" w:type="dxa"/>
          </w:tcPr>
          <w:p w:rsidR="00A47C1F" w:rsidRPr="006907A4" w:rsidRDefault="00A47C1F" w:rsidP="00172485">
            <w:pPr>
              <w:rPr>
                <w:b/>
              </w:rPr>
            </w:pPr>
            <w:r w:rsidRPr="006907A4">
              <w:rPr>
                <w:b/>
              </w:rPr>
              <w:t xml:space="preserve">Estimated </w:t>
            </w:r>
            <w:r w:rsidRPr="006907A4">
              <w:rPr>
                <w:rFonts w:hint="eastAsia"/>
                <w:b/>
              </w:rPr>
              <w:t>price</w:t>
            </w:r>
          </w:p>
        </w:tc>
        <w:tc>
          <w:tcPr>
            <w:tcW w:w="1803" w:type="dxa"/>
          </w:tcPr>
          <w:p w:rsidR="00A47C1F" w:rsidRPr="006907A4" w:rsidRDefault="00A47C1F" w:rsidP="00172485">
            <w:pPr>
              <w:rPr>
                <w:b/>
              </w:rPr>
            </w:pPr>
            <w:r w:rsidRPr="006907A4">
              <w:rPr>
                <w:b/>
              </w:rPr>
              <w:t>S</w:t>
            </w:r>
            <w:r w:rsidRPr="006907A4">
              <w:rPr>
                <w:rFonts w:hint="eastAsia"/>
                <w:b/>
              </w:rPr>
              <w:t xml:space="preserve">tandard </w:t>
            </w:r>
            <w:r w:rsidRPr="006907A4">
              <w:rPr>
                <w:b/>
              </w:rPr>
              <w:t>error</w:t>
            </w:r>
          </w:p>
        </w:tc>
        <w:tc>
          <w:tcPr>
            <w:tcW w:w="1803" w:type="dxa"/>
          </w:tcPr>
          <w:p w:rsidR="00A47C1F" w:rsidRPr="006907A4" w:rsidRDefault="00A47C1F" w:rsidP="00172485">
            <w:pPr>
              <w:rPr>
                <w:b/>
              </w:rPr>
            </w:pPr>
            <w:r w:rsidRPr="006907A4">
              <w:rPr>
                <w:b/>
              </w:rPr>
              <w:t xml:space="preserve">Estimated </w:t>
            </w:r>
            <w:r w:rsidRPr="006907A4">
              <w:rPr>
                <w:rFonts w:hint="eastAsia"/>
                <w:b/>
              </w:rPr>
              <w:t>price</w:t>
            </w:r>
          </w:p>
        </w:tc>
        <w:tc>
          <w:tcPr>
            <w:tcW w:w="1804" w:type="dxa"/>
          </w:tcPr>
          <w:p w:rsidR="00A47C1F" w:rsidRPr="006907A4" w:rsidRDefault="00A47C1F" w:rsidP="00172485">
            <w:pPr>
              <w:rPr>
                <w:b/>
              </w:rPr>
            </w:pPr>
            <w:r w:rsidRPr="006907A4">
              <w:rPr>
                <w:b/>
              </w:rPr>
              <w:t>S</w:t>
            </w:r>
            <w:r w:rsidRPr="006907A4">
              <w:rPr>
                <w:rFonts w:hint="eastAsia"/>
                <w:b/>
              </w:rPr>
              <w:t xml:space="preserve">tandard </w:t>
            </w:r>
            <w:r w:rsidRPr="006907A4">
              <w:rPr>
                <w:b/>
              </w:rPr>
              <w:t>error</w:t>
            </w:r>
          </w:p>
        </w:tc>
      </w:tr>
      <w:tr w:rsidR="00A47C1F" w:rsidTr="00172485">
        <w:tc>
          <w:tcPr>
            <w:tcW w:w="1803" w:type="dxa"/>
          </w:tcPr>
          <w:p w:rsidR="00A47C1F" w:rsidRDefault="00A47C1F" w:rsidP="00172485">
            <w:r>
              <w:rPr>
                <w:rFonts w:hint="eastAsia"/>
              </w:rPr>
              <w:t>VG Time Changed</w:t>
            </w:r>
          </w:p>
        </w:tc>
        <w:tc>
          <w:tcPr>
            <w:tcW w:w="1803" w:type="dxa"/>
          </w:tcPr>
          <w:p w:rsidR="00A47C1F" w:rsidRDefault="00A47C1F" w:rsidP="00172485">
            <w:r w:rsidRPr="00D57EFC">
              <w:t>7.3624611</w:t>
            </w:r>
          </w:p>
        </w:tc>
        <w:tc>
          <w:tcPr>
            <w:tcW w:w="1803" w:type="dxa"/>
          </w:tcPr>
          <w:p w:rsidR="00A47C1F" w:rsidRDefault="00A47C1F" w:rsidP="00172485">
            <w:r w:rsidRPr="00D57EFC">
              <w:t>0.0502044</w:t>
            </w:r>
          </w:p>
        </w:tc>
        <w:tc>
          <w:tcPr>
            <w:tcW w:w="1803" w:type="dxa"/>
          </w:tcPr>
          <w:p w:rsidR="00A47C1F" w:rsidRDefault="00A47C1F" w:rsidP="00172485">
            <w:r w:rsidRPr="008F6391">
              <w:t>12.00348248</w:t>
            </w:r>
          </w:p>
        </w:tc>
        <w:tc>
          <w:tcPr>
            <w:tcW w:w="1804" w:type="dxa"/>
          </w:tcPr>
          <w:p w:rsidR="00A47C1F" w:rsidRDefault="00A47C1F" w:rsidP="00172485">
            <w:r w:rsidRPr="008F6391">
              <w:t>0.04563806</w:t>
            </w:r>
          </w:p>
        </w:tc>
      </w:tr>
      <w:tr w:rsidR="00A47C1F" w:rsidTr="00172485">
        <w:tc>
          <w:tcPr>
            <w:tcW w:w="1803" w:type="dxa"/>
          </w:tcPr>
          <w:p w:rsidR="00A47C1F" w:rsidRDefault="00A47C1F" w:rsidP="00172485">
            <w:r>
              <w:rPr>
                <w:rFonts w:hint="eastAsia"/>
              </w:rPr>
              <w:t>VG Diff Gamma</w:t>
            </w:r>
          </w:p>
        </w:tc>
        <w:tc>
          <w:tcPr>
            <w:tcW w:w="1803" w:type="dxa"/>
          </w:tcPr>
          <w:p w:rsidR="00A47C1F" w:rsidRDefault="00A47C1F" w:rsidP="00172485">
            <w:r w:rsidRPr="00D57EFC">
              <w:t>7.43042828</w:t>
            </w:r>
          </w:p>
        </w:tc>
        <w:tc>
          <w:tcPr>
            <w:tcW w:w="1803" w:type="dxa"/>
          </w:tcPr>
          <w:p w:rsidR="00A47C1F" w:rsidRDefault="00A47C1F" w:rsidP="00172485">
            <w:r w:rsidRPr="00D57EFC">
              <w:t>0.05110586</w:t>
            </w:r>
          </w:p>
        </w:tc>
        <w:tc>
          <w:tcPr>
            <w:tcW w:w="1803" w:type="dxa"/>
          </w:tcPr>
          <w:p w:rsidR="00A47C1F" w:rsidRDefault="00A47C1F" w:rsidP="00172485">
            <w:r w:rsidRPr="008F6391">
              <w:t>11.95911826</w:t>
            </w:r>
          </w:p>
        </w:tc>
        <w:tc>
          <w:tcPr>
            <w:tcW w:w="1804" w:type="dxa"/>
          </w:tcPr>
          <w:p w:rsidR="00A47C1F" w:rsidRDefault="00A47C1F" w:rsidP="00172485">
            <w:r w:rsidRPr="008F6391">
              <w:t>0.04570866</w:t>
            </w:r>
          </w:p>
        </w:tc>
      </w:tr>
      <w:tr w:rsidR="00A47C1F" w:rsidTr="00172485">
        <w:tc>
          <w:tcPr>
            <w:tcW w:w="1803" w:type="dxa"/>
          </w:tcPr>
          <w:p w:rsidR="00A47C1F" w:rsidRDefault="00A47C1F" w:rsidP="00172485">
            <w:r>
              <w:rPr>
                <w:rFonts w:hint="eastAsia"/>
              </w:rPr>
              <w:t>VG FFT</w:t>
            </w:r>
          </w:p>
        </w:tc>
        <w:tc>
          <w:tcPr>
            <w:tcW w:w="1803" w:type="dxa"/>
          </w:tcPr>
          <w:p w:rsidR="00A47C1F" w:rsidRDefault="00A47C1F" w:rsidP="00172485">
            <w:r w:rsidRPr="00D57EFC">
              <w:t>7.402404</w:t>
            </w:r>
          </w:p>
        </w:tc>
        <w:tc>
          <w:tcPr>
            <w:tcW w:w="1803" w:type="dxa"/>
          </w:tcPr>
          <w:p w:rsidR="00A47C1F" w:rsidRDefault="00A47C1F" w:rsidP="00172485">
            <w:r>
              <w:rPr>
                <w:rFonts w:hint="eastAsia"/>
              </w:rPr>
              <w:t>NA</w:t>
            </w:r>
          </w:p>
        </w:tc>
        <w:tc>
          <w:tcPr>
            <w:tcW w:w="1803" w:type="dxa"/>
          </w:tcPr>
          <w:p w:rsidR="00A47C1F" w:rsidRDefault="00A47C1F" w:rsidP="00172485">
            <w:r w:rsidRPr="008F6391">
              <w:t>12.03764</w:t>
            </w:r>
          </w:p>
        </w:tc>
        <w:tc>
          <w:tcPr>
            <w:tcW w:w="1804" w:type="dxa"/>
          </w:tcPr>
          <w:p w:rsidR="00A47C1F" w:rsidRDefault="00A47C1F" w:rsidP="00172485">
            <w:r>
              <w:rPr>
                <w:rFonts w:hint="eastAsia"/>
              </w:rPr>
              <w:t>NA</w:t>
            </w:r>
          </w:p>
        </w:tc>
      </w:tr>
      <w:tr w:rsidR="00A47C1F" w:rsidTr="00172485">
        <w:tc>
          <w:tcPr>
            <w:tcW w:w="1803" w:type="dxa"/>
          </w:tcPr>
          <w:p w:rsidR="00A47C1F" w:rsidRDefault="00A47C1F" w:rsidP="00172485">
            <w:r>
              <w:rPr>
                <w:rFonts w:hint="eastAsia"/>
              </w:rPr>
              <w:t>GBM</w:t>
            </w:r>
          </w:p>
        </w:tc>
        <w:tc>
          <w:tcPr>
            <w:tcW w:w="1803" w:type="dxa"/>
          </w:tcPr>
          <w:p w:rsidR="00A47C1F" w:rsidRDefault="00A47C1F" w:rsidP="00172485">
            <w:r w:rsidRPr="00D57EFC">
              <w:t>8.05231697</w:t>
            </w:r>
          </w:p>
        </w:tc>
        <w:tc>
          <w:tcPr>
            <w:tcW w:w="1803" w:type="dxa"/>
          </w:tcPr>
          <w:p w:rsidR="00A47C1F" w:rsidRDefault="00A47C1F" w:rsidP="00172485">
            <w:r w:rsidRPr="00D57EFC">
              <w:t>0.04896859</w:t>
            </w:r>
          </w:p>
        </w:tc>
        <w:tc>
          <w:tcPr>
            <w:tcW w:w="1803" w:type="dxa"/>
          </w:tcPr>
          <w:p w:rsidR="00A47C1F" w:rsidRDefault="00A47C1F" w:rsidP="00172485">
            <w:r w:rsidRPr="008F6391">
              <w:t>12.73824066</w:t>
            </w:r>
          </w:p>
        </w:tc>
        <w:tc>
          <w:tcPr>
            <w:tcW w:w="1804" w:type="dxa"/>
          </w:tcPr>
          <w:p w:rsidR="00A47C1F" w:rsidRDefault="00A47C1F" w:rsidP="00172485">
            <w:r w:rsidRPr="008F6391">
              <w:t>0.04516489</w:t>
            </w:r>
          </w:p>
        </w:tc>
      </w:tr>
      <w:tr w:rsidR="00A47C1F" w:rsidTr="00172485">
        <w:tc>
          <w:tcPr>
            <w:tcW w:w="1803" w:type="dxa"/>
          </w:tcPr>
          <w:p w:rsidR="00A47C1F" w:rsidRDefault="00A47C1F" w:rsidP="00172485">
            <w:r>
              <w:t>GBM FFT</w:t>
            </w:r>
          </w:p>
        </w:tc>
        <w:tc>
          <w:tcPr>
            <w:tcW w:w="1803" w:type="dxa"/>
          </w:tcPr>
          <w:p w:rsidR="00A47C1F" w:rsidRDefault="00A47C1F" w:rsidP="00172485">
            <w:r w:rsidRPr="00D57EFC">
              <w:t>8.026385</w:t>
            </w:r>
          </w:p>
        </w:tc>
        <w:tc>
          <w:tcPr>
            <w:tcW w:w="1803" w:type="dxa"/>
          </w:tcPr>
          <w:p w:rsidR="00A47C1F" w:rsidRDefault="00A47C1F" w:rsidP="00172485">
            <w:r>
              <w:rPr>
                <w:rFonts w:hint="eastAsia"/>
              </w:rPr>
              <w:t>NA</w:t>
            </w:r>
          </w:p>
        </w:tc>
        <w:tc>
          <w:tcPr>
            <w:tcW w:w="1803" w:type="dxa"/>
          </w:tcPr>
          <w:p w:rsidR="00A47C1F" w:rsidRDefault="00A47C1F" w:rsidP="00172485">
            <w:r w:rsidRPr="008F6391">
              <w:t>12.66162</w:t>
            </w:r>
          </w:p>
        </w:tc>
        <w:tc>
          <w:tcPr>
            <w:tcW w:w="1804" w:type="dxa"/>
          </w:tcPr>
          <w:p w:rsidR="00A47C1F" w:rsidRDefault="00A47C1F" w:rsidP="00172485">
            <w:r>
              <w:rPr>
                <w:rFonts w:hint="eastAsia"/>
              </w:rPr>
              <w:t>NA</w:t>
            </w:r>
          </w:p>
        </w:tc>
      </w:tr>
      <w:tr w:rsidR="00D76AB3" w:rsidRPr="006907A4" w:rsidTr="00172485">
        <w:tc>
          <w:tcPr>
            <w:tcW w:w="1803" w:type="dxa"/>
          </w:tcPr>
          <w:p w:rsidR="00D76AB3" w:rsidRDefault="00D76AB3" w:rsidP="00172485"/>
        </w:tc>
        <w:tc>
          <w:tcPr>
            <w:tcW w:w="3606" w:type="dxa"/>
            <w:gridSpan w:val="2"/>
          </w:tcPr>
          <w:p w:rsidR="00D76AB3" w:rsidRPr="006907A4" w:rsidRDefault="00D76AB3" w:rsidP="00172485">
            <w:pPr>
              <w:rPr>
                <w:b/>
                <w:sz w:val="22"/>
              </w:rPr>
            </w:pPr>
            <w:r w:rsidRPr="006907A4">
              <w:rPr>
                <w:b/>
                <w:sz w:val="22"/>
              </w:rPr>
              <w:t xml:space="preserve">Asian </w:t>
            </w:r>
            <w:r w:rsidRPr="006907A4">
              <w:rPr>
                <w:rFonts w:hint="eastAsia"/>
                <w:b/>
                <w:sz w:val="22"/>
              </w:rPr>
              <w:t>Call</w:t>
            </w:r>
          </w:p>
        </w:tc>
        <w:tc>
          <w:tcPr>
            <w:tcW w:w="3607" w:type="dxa"/>
            <w:gridSpan w:val="2"/>
          </w:tcPr>
          <w:p w:rsidR="00D76AB3" w:rsidRPr="006907A4" w:rsidRDefault="00D76AB3" w:rsidP="00172485">
            <w:pPr>
              <w:rPr>
                <w:b/>
                <w:sz w:val="22"/>
              </w:rPr>
            </w:pPr>
            <w:r w:rsidRPr="006907A4">
              <w:rPr>
                <w:b/>
                <w:sz w:val="22"/>
              </w:rPr>
              <w:t xml:space="preserve">Asian </w:t>
            </w:r>
            <w:r w:rsidRPr="006907A4">
              <w:rPr>
                <w:rFonts w:hint="eastAsia"/>
                <w:b/>
                <w:sz w:val="22"/>
              </w:rPr>
              <w:t>Put</w:t>
            </w:r>
          </w:p>
        </w:tc>
      </w:tr>
      <w:tr w:rsidR="00D76AB3" w:rsidRPr="006907A4" w:rsidTr="00172485">
        <w:tc>
          <w:tcPr>
            <w:tcW w:w="1803" w:type="dxa"/>
          </w:tcPr>
          <w:p w:rsidR="00D76AB3" w:rsidRDefault="00D76AB3" w:rsidP="00172485"/>
        </w:tc>
        <w:tc>
          <w:tcPr>
            <w:tcW w:w="1803" w:type="dxa"/>
          </w:tcPr>
          <w:p w:rsidR="00D76AB3" w:rsidRPr="006907A4" w:rsidRDefault="00D76AB3" w:rsidP="00172485">
            <w:pPr>
              <w:rPr>
                <w:b/>
              </w:rPr>
            </w:pPr>
            <w:r w:rsidRPr="006907A4">
              <w:rPr>
                <w:b/>
              </w:rPr>
              <w:t xml:space="preserve">Estimated </w:t>
            </w:r>
            <w:r w:rsidRPr="006907A4">
              <w:rPr>
                <w:rFonts w:hint="eastAsia"/>
                <w:b/>
              </w:rPr>
              <w:t>price</w:t>
            </w:r>
          </w:p>
        </w:tc>
        <w:tc>
          <w:tcPr>
            <w:tcW w:w="1803" w:type="dxa"/>
          </w:tcPr>
          <w:p w:rsidR="00D76AB3" w:rsidRPr="006907A4" w:rsidRDefault="00D76AB3" w:rsidP="00172485">
            <w:pPr>
              <w:rPr>
                <w:b/>
              </w:rPr>
            </w:pPr>
            <w:r w:rsidRPr="006907A4">
              <w:rPr>
                <w:b/>
              </w:rPr>
              <w:t>S</w:t>
            </w:r>
            <w:r w:rsidRPr="006907A4">
              <w:rPr>
                <w:rFonts w:hint="eastAsia"/>
                <w:b/>
              </w:rPr>
              <w:t xml:space="preserve">tandard </w:t>
            </w:r>
            <w:r w:rsidRPr="006907A4">
              <w:rPr>
                <w:b/>
              </w:rPr>
              <w:t>error</w:t>
            </w:r>
          </w:p>
        </w:tc>
        <w:tc>
          <w:tcPr>
            <w:tcW w:w="1803" w:type="dxa"/>
          </w:tcPr>
          <w:p w:rsidR="00D76AB3" w:rsidRPr="006907A4" w:rsidRDefault="00D76AB3" w:rsidP="00172485">
            <w:pPr>
              <w:rPr>
                <w:b/>
              </w:rPr>
            </w:pPr>
            <w:r w:rsidRPr="006907A4">
              <w:rPr>
                <w:b/>
              </w:rPr>
              <w:t xml:space="preserve">Estimated </w:t>
            </w:r>
            <w:r w:rsidRPr="006907A4">
              <w:rPr>
                <w:rFonts w:hint="eastAsia"/>
                <w:b/>
              </w:rPr>
              <w:t>price</w:t>
            </w:r>
          </w:p>
        </w:tc>
        <w:tc>
          <w:tcPr>
            <w:tcW w:w="1804" w:type="dxa"/>
          </w:tcPr>
          <w:p w:rsidR="00D76AB3" w:rsidRPr="006907A4" w:rsidRDefault="00D76AB3" w:rsidP="00172485">
            <w:pPr>
              <w:rPr>
                <w:b/>
              </w:rPr>
            </w:pPr>
            <w:r w:rsidRPr="006907A4">
              <w:rPr>
                <w:b/>
              </w:rPr>
              <w:t>S</w:t>
            </w:r>
            <w:r w:rsidRPr="006907A4">
              <w:rPr>
                <w:rFonts w:hint="eastAsia"/>
                <w:b/>
              </w:rPr>
              <w:t xml:space="preserve">tandard </w:t>
            </w:r>
            <w:r w:rsidRPr="006907A4">
              <w:rPr>
                <w:b/>
              </w:rPr>
              <w:t>error</w:t>
            </w:r>
          </w:p>
        </w:tc>
      </w:tr>
      <w:tr w:rsidR="00D76AB3" w:rsidTr="00172485">
        <w:tc>
          <w:tcPr>
            <w:tcW w:w="1803" w:type="dxa"/>
          </w:tcPr>
          <w:p w:rsidR="00D76AB3" w:rsidRDefault="00D76AB3" w:rsidP="00172485">
            <w:r>
              <w:rPr>
                <w:rFonts w:hint="eastAsia"/>
              </w:rPr>
              <w:t xml:space="preserve">VG </w:t>
            </w:r>
          </w:p>
        </w:tc>
        <w:tc>
          <w:tcPr>
            <w:tcW w:w="1803" w:type="dxa"/>
          </w:tcPr>
          <w:p w:rsidR="00D76AB3" w:rsidRDefault="00172485" w:rsidP="00172485">
            <w:r w:rsidRPr="00172485">
              <w:t>2.39295990</w:t>
            </w:r>
          </w:p>
        </w:tc>
        <w:tc>
          <w:tcPr>
            <w:tcW w:w="1803" w:type="dxa"/>
          </w:tcPr>
          <w:p w:rsidR="00D76AB3" w:rsidRDefault="00172485" w:rsidP="00172485">
            <w:r w:rsidRPr="00172485">
              <w:t>0.02190057</w:t>
            </w:r>
          </w:p>
        </w:tc>
        <w:tc>
          <w:tcPr>
            <w:tcW w:w="1803" w:type="dxa"/>
          </w:tcPr>
          <w:p w:rsidR="00D76AB3" w:rsidRDefault="00172485" w:rsidP="00172485">
            <w:r w:rsidRPr="00172485">
              <w:t>10.0600321</w:t>
            </w:r>
          </w:p>
        </w:tc>
        <w:tc>
          <w:tcPr>
            <w:tcW w:w="1804" w:type="dxa"/>
          </w:tcPr>
          <w:p w:rsidR="00D76AB3" w:rsidRDefault="00172485" w:rsidP="00172485">
            <w:r w:rsidRPr="00172485">
              <w:t>0.0318425</w:t>
            </w:r>
          </w:p>
        </w:tc>
      </w:tr>
      <w:tr w:rsidR="00D76AB3" w:rsidRPr="00845B2C" w:rsidTr="00172485">
        <w:tc>
          <w:tcPr>
            <w:tcW w:w="1803" w:type="dxa"/>
          </w:tcPr>
          <w:p w:rsidR="00D76AB3" w:rsidRDefault="00D76AB3" w:rsidP="00172485">
            <w:r>
              <w:rPr>
                <w:rFonts w:hint="eastAsia"/>
              </w:rPr>
              <w:t>VG FFT</w:t>
            </w:r>
          </w:p>
        </w:tc>
        <w:tc>
          <w:tcPr>
            <w:tcW w:w="1803" w:type="dxa"/>
          </w:tcPr>
          <w:p w:rsidR="00D76AB3" w:rsidRPr="00845B2C" w:rsidRDefault="00172485" w:rsidP="00172485">
            <w:r w:rsidRPr="00172485">
              <w:t>2.393005</w:t>
            </w:r>
          </w:p>
        </w:tc>
        <w:tc>
          <w:tcPr>
            <w:tcW w:w="1803" w:type="dxa"/>
          </w:tcPr>
          <w:p w:rsidR="00D76AB3" w:rsidRPr="008F6391" w:rsidRDefault="00D76AB3" w:rsidP="00172485">
            <w:r>
              <w:t>NA</w:t>
            </w:r>
          </w:p>
        </w:tc>
        <w:tc>
          <w:tcPr>
            <w:tcW w:w="1803" w:type="dxa"/>
          </w:tcPr>
          <w:p w:rsidR="00D76AB3" w:rsidRPr="00845B2C" w:rsidRDefault="00172485" w:rsidP="00172485">
            <w:r w:rsidRPr="00172485">
              <w:t>10.00268</w:t>
            </w:r>
          </w:p>
        </w:tc>
        <w:tc>
          <w:tcPr>
            <w:tcW w:w="1804" w:type="dxa"/>
          </w:tcPr>
          <w:p w:rsidR="00D76AB3" w:rsidRPr="00845B2C" w:rsidRDefault="00D76AB3" w:rsidP="00172485">
            <w:r>
              <w:t>NA</w:t>
            </w:r>
          </w:p>
        </w:tc>
      </w:tr>
      <w:tr w:rsidR="00D76AB3" w:rsidTr="00172485">
        <w:tc>
          <w:tcPr>
            <w:tcW w:w="1803" w:type="dxa"/>
          </w:tcPr>
          <w:p w:rsidR="00D76AB3" w:rsidRDefault="00D76AB3" w:rsidP="00172485">
            <w:r>
              <w:rPr>
                <w:rFonts w:hint="eastAsia"/>
              </w:rPr>
              <w:t>GBM</w:t>
            </w:r>
          </w:p>
        </w:tc>
        <w:tc>
          <w:tcPr>
            <w:tcW w:w="1803" w:type="dxa"/>
          </w:tcPr>
          <w:p w:rsidR="00D76AB3" w:rsidRDefault="00172485" w:rsidP="00172485">
            <w:r w:rsidRPr="00172485">
              <w:t>2.73848509</w:t>
            </w:r>
          </w:p>
        </w:tc>
        <w:tc>
          <w:tcPr>
            <w:tcW w:w="1803" w:type="dxa"/>
          </w:tcPr>
          <w:p w:rsidR="00D76AB3" w:rsidRDefault="00172485" w:rsidP="00172485">
            <w:r w:rsidRPr="00172485">
              <w:t>0.02005997</w:t>
            </w:r>
          </w:p>
        </w:tc>
        <w:tc>
          <w:tcPr>
            <w:tcW w:w="1803" w:type="dxa"/>
          </w:tcPr>
          <w:p w:rsidR="00D76AB3" w:rsidRDefault="00172485" w:rsidP="00172485">
            <w:r w:rsidRPr="00172485">
              <w:t>10.37265283</w:t>
            </w:r>
          </w:p>
        </w:tc>
        <w:tc>
          <w:tcPr>
            <w:tcW w:w="1804" w:type="dxa"/>
          </w:tcPr>
          <w:p w:rsidR="00D76AB3" w:rsidRDefault="00172485" w:rsidP="00172485">
            <w:r w:rsidRPr="00172485">
              <w:t>0.03154842</w:t>
            </w:r>
          </w:p>
        </w:tc>
      </w:tr>
      <w:tr w:rsidR="00D76AB3" w:rsidRPr="00845B2C" w:rsidTr="00172485">
        <w:tc>
          <w:tcPr>
            <w:tcW w:w="1803" w:type="dxa"/>
          </w:tcPr>
          <w:p w:rsidR="00D76AB3" w:rsidRDefault="00D76AB3" w:rsidP="00172485">
            <w:r>
              <w:rPr>
                <w:rFonts w:hint="eastAsia"/>
              </w:rPr>
              <w:t>GBM FFT</w:t>
            </w:r>
          </w:p>
        </w:tc>
        <w:tc>
          <w:tcPr>
            <w:tcW w:w="1803" w:type="dxa"/>
          </w:tcPr>
          <w:p w:rsidR="00D76AB3" w:rsidRPr="005A39D0" w:rsidRDefault="00172485" w:rsidP="00172485">
            <w:r w:rsidRPr="00172485">
              <w:t>2.76867</w:t>
            </w:r>
          </w:p>
        </w:tc>
        <w:tc>
          <w:tcPr>
            <w:tcW w:w="1803" w:type="dxa"/>
          </w:tcPr>
          <w:p w:rsidR="00D76AB3" w:rsidRPr="00845B2C" w:rsidRDefault="00D76AB3" w:rsidP="00172485">
            <w:r>
              <w:t>NA</w:t>
            </w:r>
          </w:p>
        </w:tc>
        <w:tc>
          <w:tcPr>
            <w:tcW w:w="1803" w:type="dxa"/>
          </w:tcPr>
          <w:p w:rsidR="00D76AB3" w:rsidRPr="00845B2C" w:rsidRDefault="00172485" w:rsidP="0017248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172485">
              <w:rPr>
                <w:rFonts w:asciiTheme="minorHAnsi" w:eastAsiaTheme="minorEastAsia" w:hAnsiTheme="minorHAnsi" w:cstheme="minorBidi"/>
                <w:sz w:val="21"/>
                <w:szCs w:val="22"/>
              </w:rPr>
              <w:t>10.38007</w:t>
            </w:r>
          </w:p>
        </w:tc>
        <w:tc>
          <w:tcPr>
            <w:tcW w:w="1804" w:type="dxa"/>
          </w:tcPr>
          <w:p w:rsidR="00D76AB3" w:rsidRPr="00845B2C" w:rsidRDefault="00D76AB3" w:rsidP="00172485">
            <w:r>
              <w:t>NA</w:t>
            </w:r>
          </w:p>
        </w:tc>
      </w:tr>
    </w:tbl>
    <w:p w:rsidR="00D76AB3" w:rsidRDefault="00D76AB3" w:rsidP="00B57EC9">
      <w:pPr>
        <w:pStyle w:val="ListParagraph"/>
        <w:tabs>
          <w:tab w:val="left" w:pos="6475"/>
        </w:tabs>
        <w:spacing w:line="360" w:lineRule="auto"/>
        <w:ind w:left="360"/>
        <w:rPr>
          <w:rFonts w:eastAsiaTheme="minorEastAsia"/>
          <w:b/>
          <w:kern w:val="2"/>
          <w:lang w:eastAsia="zh-CN"/>
        </w:rPr>
      </w:pPr>
    </w:p>
    <w:p w:rsidR="003665F6" w:rsidRDefault="003665F6" w:rsidP="00B57EC9">
      <w:pPr>
        <w:pStyle w:val="ListParagraph"/>
        <w:tabs>
          <w:tab w:val="left" w:pos="6475"/>
        </w:tabs>
        <w:spacing w:line="360" w:lineRule="auto"/>
        <w:ind w:left="360"/>
        <w:rPr>
          <w:rFonts w:eastAsiaTheme="minorEastAsia"/>
          <w:b/>
          <w:kern w:val="2"/>
          <w:lang w:eastAsia="zh-CN"/>
        </w:rPr>
      </w:pPr>
      <w:r>
        <w:rPr>
          <w:rFonts w:eastAsiaTheme="minorEastAsia"/>
          <w:b/>
          <w:kern w:val="2"/>
          <w:lang w:eastAsia="zh-CN"/>
        </w:rPr>
        <w:t>Variance Reduction</w:t>
      </w:r>
    </w:p>
    <w:p w:rsidR="004B4C9A" w:rsidRDefault="004B4C9A" w:rsidP="00B57EC9">
      <w:pPr>
        <w:pStyle w:val="ListParagraph"/>
        <w:tabs>
          <w:tab w:val="left" w:pos="6475"/>
        </w:tabs>
        <w:spacing w:line="360" w:lineRule="auto"/>
        <w:ind w:left="360"/>
        <w:rPr>
          <w:rFonts w:eastAsiaTheme="minorEastAsia"/>
          <w:b/>
          <w:kern w:val="2"/>
          <w:lang w:eastAsia="zh-CN"/>
        </w:rPr>
      </w:pPr>
      <w:r>
        <w:rPr>
          <w:rFonts w:eastAsiaTheme="minorEastAsia"/>
          <w:b/>
          <w:kern w:val="2"/>
          <w:lang w:eastAsia="zh-CN"/>
        </w:rPr>
        <w:t>Importance Sampling</w:t>
      </w:r>
    </w:p>
    <w:p w:rsidR="004B4C9A" w:rsidRDefault="003665F6" w:rsidP="003665F6">
      <w:pPr>
        <w:ind w:left="360"/>
      </w:pPr>
      <w:r>
        <w:t xml:space="preserve">Here we try to price the deep-out-of money European put with S0=100, and K=45. </w:t>
      </w:r>
      <w:r w:rsidR="008070B5">
        <w:t xml:space="preserve">As </w:t>
      </w:r>
      <w:r>
        <w:t>new parameters</w:t>
      </w:r>
      <w:r w:rsidR="008070B5" w:rsidRPr="008070B5">
        <w:rPr>
          <w:position w:val="-16"/>
        </w:rPr>
        <w:object w:dxaOrig="1060" w:dyaOrig="440">
          <v:shape id="_x0000_i1055" type="#_x0000_t75" style="width:53.3pt;height:22pt" o:ole="">
            <v:imagedata r:id="rId67" o:title=""/>
          </v:shape>
          <o:OLEObject Type="Embed" ProgID="Equation.DSMT4" ShapeID="_x0000_i1055" DrawAspect="Content" ObjectID="_1463336374" r:id="rId68"/>
        </w:object>
      </w:r>
      <w:r w:rsidR="008070B5">
        <w:t xml:space="preserve"> for change of measure</w:t>
      </w:r>
      <w:r>
        <w:t>, we decrease original</w:t>
      </w:r>
      <w:r w:rsidR="008070B5" w:rsidRPr="008070B5">
        <w:rPr>
          <w:position w:val="-4"/>
        </w:rPr>
        <w:object w:dxaOrig="200" w:dyaOrig="260">
          <v:shape id="_x0000_i1056" type="#_x0000_t75" style="width:10pt;height:13pt" o:ole="">
            <v:imagedata r:id="rId69" o:title=""/>
          </v:shape>
          <o:OLEObject Type="Embed" ProgID="Equation.DSMT4" ShapeID="_x0000_i1056" DrawAspect="Content" ObjectID="_1463336375" r:id="rId70"/>
        </w:object>
      </w:r>
      <w:r>
        <w:t>, increase original</w:t>
      </w:r>
      <w:r w:rsidR="008070B5" w:rsidRPr="008070B5">
        <w:rPr>
          <w:position w:val="-4"/>
        </w:rPr>
        <w:object w:dxaOrig="220" w:dyaOrig="200">
          <v:shape id="_x0000_i1057" type="#_x0000_t75" style="width:11.25pt;height:9.75pt" o:ole="">
            <v:imagedata r:id="rId71" o:title=""/>
          </v:shape>
          <o:OLEObject Type="Embed" ProgID="Equation.DSMT4" ShapeID="_x0000_i1057" DrawAspect="Content" ObjectID="_1463336376" r:id="rId72"/>
        </w:object>
      </w:r>
      <w:r w:rsidR="008070B5">
        <w:t xml:space="preserve">and keep the </w:t>
      </w:r>
      <w:r w:rsidR="008070B5" w:rsidRPr="008070B5">
        <w:rPr>
          <w:position w:val="-4"/>
        </w:rPr>
        <w:object w:dxaOrig="220" w:dyaOrig="200">
          <v:shape id="_x0000_i1058" type="#_x0000_t75" style="width:11pt;height:10pt" o:ole="">
            <v:imagedata r:id="rId73" o:title=""/>
          </v:shape>
          <o:OLEObject Type="Embed" ProgID="Equation.DSMT4" ShapeID="_x0000_i1058" DrawAspect="Content" ObjectID="_1463336377" r:id="rId74"/>
        </w:object>
      </w:r>
      <w:r w:rsidR="008070B5">
        <w:t xml:space="preserve"> parameter constant</w:t>
      </w:r>
      <w:r>
        <w:t xml:space="preserve">. </w:t>
      </w:r>
      <w:r w:rsidR="008070B5">
        <w:t>The parameters are as follows</w:t>
      </w:r>
    </w:p>
    <w:tbl>
      <w:tblPr>
        <w:tblStyle w:val="TableGrid"/>
        <w:tblW w:w="9054" w:type="dxa"/>
        <w:tblInd w:w="607" w:type="dxa"/>
        <w:tblLook w:val="04A0" w:firstRow="1" w:lastRow="0" w:firstColumn="1" w:lastColumn="0" w:noHBand="0" w:noVBand="1"/>
      </w:tblPr>
      <w:tblGrid>
        <w:gridCol w:w="1509"/>
        <w:gridCol w:w="1509"/>
        <w:gridCol w:w="1509"/>
        <w:gridCol w:w="1509"/>
        <w:gridCol w:w="1509"/>
        <w:gridCol w:w="1509"/>
      </w:tblGrid>
      <w:tr w:rsidR="003665F6" w:rsidTr="003665F6">
        <w:trPr>
          <w:trHeight w:val="208"/>
        </w:trPr>
        <w:tc>
          <w:tcPr>
            <w:tcW w:w="1509" w:type="dxa"/>
          </w:tcPr>
          <w:p w:rsidR="003665F6" w:rsidRPr="008B0117" w:rsidRDefault="006907A4" w:rsidP="00172485">
            <w:pPr>
              <w:rPr>
                <w:b/>
              </w:rPr>
            </w:pPr>
            <w:r w:rsidRPr="006907A4">
              <w:rPr>
                <w:b/>
                <w:position w:val="-4"/>
              </w:rPr>
              <w:object w:dxaOrig="220" w:dyaOrig="200">
                <v:shape id="_x0000_i1060" type="#_x0000_t75" style="width:11.25pt;height:9.75pt" o:ole="">
                  <v:imagedata r:id="rId75" o:title=""/>
                </v:shape>
                <o:OLEObject Type="Embed" ProgID="Equation.DSMT4" ShapeID="_x0000_i1060" DrawAspect="Content" ObjectID="_1463336378" r:id="rId76"/>
              </w:object>
            </w:r>
          </w:p>
        </w:tc>
        <w:tc>
          <w:tcPr>
            <w:tcW w:w="1509" w:type="dxa"/>
          </w:tcPr>
          <w:p w:rsidR="003665F6" w:rsidRPr="008B0117" w:rsidRDefault="006907A4" w:rsidP="00172485">
            <w:pPr>
              <w:rPr>
                <w:b/>
              </w:rPr>
            </w:pPr>
            <w:r w:rsidRPr="006907A4">
              <w:rPr>
                <w:b/>
                <w:position w:val="-4"/>
              </w:rPr>
              <w:object w:dxaOrig="200" w:dyaOrig="260">
                <v:shape id="_x0000_i1061" type="#_x0000_t75" style="width:10pt;height:13pt" o:ole="">
                  <v:imagedata r:id="rId77" o:title=""/>
                </v:shape>
                <o:OLEObject Type="Embed" ProgID="Equation.DSMT4" ShapeID="_x0000_i1061" DrawAspect="Content" ObjectID="_1463336379" r:id="rId78"/>
              </w:object>
            </w:r>
          </w:p>
        </w:tc>
        <w:tc>
          <w:tcPr>
            <w:tcW w:w="1509" w:type="dxa"/>
          </w:tcPr>
          <w:p w:rsidR="003665F6" w:rsidRPr="008B0117" w:rsidRDefault="003665F6" w:rsidP="00172485">
            <w:pPr>
              <w:rPr>
                <w:b/>
              </w:rPr>
            </w:pPr>
            <w:r w:rsidRPr="008B0117">
              <w:rPr>
                <w:b/>
                <w:position w:val="-6"/>
              </w:rPr>
              <w:object w:dxaOrig="180" w:dyaOrig="200">
                <v:shape id="_x0000_i1051" type="#_x0000_t75" style="width:9pt;height:9.75pt" o:ole="">
                  <v:imagedata r:id="rId79" o:title=""/>
                </v:shape>
                <o:OLEObject Type="Embed" ProgID="Equation.3" ShapeID="_x0000_i1051" DrawAspect="Content" ObjectID="_1463336380" r:id="rId80"/>
              </w:object>
            </w:r>
          </w:p>
        </w:tc>
        <w:tc>
          <w:tcPr>
            <w:tcW w:w="1509" w:type="dxa"/>
          </w:tcPr>
          <w:p w:rsidR="003665F6" w:rsidRPr="008B0117" w:rsidRDefault="003665F6" w:rsidP="00172485">
            <w:pPr>
              <w:rPr>
                <w:b/>
              </w:rPr>
            </w:pPr>
            <w:r w:rsidRPr="008B0117">
              <w:rPr>
                <w:b/>
                <w:position w:val="-6"/>
              </w:rPr>
              <w:object w:dxaOrig="260" w:dyaOrig="260">
                <v:shape id="_x0000_i1052" type="#_x0000_t75" style="width:12.75pt;height:12.75pt" o:ole="">
                  <v:imagedata r:id="rId81" o:title=""/>
                </v:shape>
                <o:OLEObject Type="Embed" ProgID="Equation.3" ShapeID="_x0000_i1052" DrawAspect="Content" ObjectID="_1463336381" r:id="rId82"/>
              </w:object>
            </w:r>
          </w:p>
        </w:tc>
        <w:tc>
          <w:tcPr>
            <w:tcW w:w="1509" w:type="dxa"/>
          </w:tcPr>
          <w:p w:rsidR="003665F6" w:rsidRPr="008B0117" w:rsidRDefault="003665F6" w:rsidP="00172485">
            <w:pPr>
              <w:rPr>
                <w:b/>
              </w:rPr>
            </w:pPr>
            <w:r w:rsidRPr="008B0117">
              <w:rPr>
                <w:b/>
                <w:position w:val="-6"/>
              </w:rPr>
              <w:object w:dxaOrig="240" w:dyaOrig="260">
                <v:shape id="_x0000_i1053" type="#_x0000_t75" style="width:12pt;height:12.75pt" o:ole="">
                  <v:imagedata r:id="rId83" o:title=""/>
                </v:shape>
                <o:OLEObject Type="Embed" ProgID="Equation.3" ShapeID="_x0000_i1053" DrawAspect="Content" ObjectID="_1463336382" r:id="rId84"/>
              </w:object>
            </w:r>
          </w:p>
        </w:tc>
        <w:tc>
          <w:tcPr>
            <w:tcW w:w="1509" w:type="dxa"/>
          </w:tcPr>
          <w:p w:rsidR="003665F6" w:rsidRPr="008B0117" w:rsidRDefault="003665F6" w:rsidP="00172485">
            <w:pPr>
              <w:rPr>
                <w:b/>
              </w:rPr>
            </w:pPr>
            <w:r w:rsidRPr="008B0117">
              <w:rPr>
                <w:b/>
                <w:position w:val="-6"/>
              </w:rPr>
              <w:object w:dxaOrig="180" w:dyaOrig="200">
                <v:shape id="_x0000_i1054" type="#_x0000_t75" style="width:9pt;height:9.75pt" o:ole="">
                  <v:imagedata r:id="rId85" o:title=""/>
                </v:shape>
                <o:OLEObject Type="Embed" ProgID="Equation.3" ShapeID="_x0000_i1054" DrawAspect="Content" ObjectID="_1463336383" r:id="rId86"/>
              </w:object>
            </w:r>
          </w:p>
        </w:tc>
      </w:tr>
      <w:tr w:rsidR="003665F6" w:rsidTr="003665F6">
        <w:trPr>
          <w:trHeight w:val="219"/>
        </w:trPr>
        <w:tc>
          <w:tcPr>
            <w:tcW w:w="1509" w:type="dxa"/>
          </w:tcPr>
          <w:p w:rsidR="003665F6" w:rsidRDefault="003665F6" w:rsidP="00172485">
            <w:r>
              <w:rPr>
                <w:rFonts w:hint="eastAsia"/>
              </w:rPr>
              <w:t>0.25</w:t>
            </w:r>
          </w:p>
        </w:tc>
        <w:tc>
          <w:tcPr>
            <w:tcW w:w="1509" w:type="dxa"/>
          </w:tcPr>
          <w:p w:rsidR="003665F6" w:rsidRDefault="003665F6" w:rsidP="00172485">
            <w:r>
              <w:rPr>
                <w:rFonts w:hint="eastAsia"/>
              </w:rPr>
              <w:t>-</w:t>
            </w:r>
            <w:r>
              <w:t>0.05</w:t>
            </w:r>
          </w:p>
        </w:tc>
        <w:tc>
          <w:tcPr>
            <w:tcW w:w="1509" w:type="dxa"/>
          </w:tcPr>
          <w:p w:rsidR="003665F6" w:rsidRDefault="003665F6" w:rsidP="00172485">
            <w:r>
              <w:rPr>
                <w:rFonts w:hint="eastAsia"/>
              </w:rPr>
              <w:t>0.5</w:t>
            </w:r>
          </w:p>
        </w:tc>
        <w:tc>
          <w:tcPr>
            <w:tcW w:w="1509" w:type="dxa"/>
          </w:tcPr>
          <w:p w:rsidR="003665F6" w:rsidRDefault="003665F6" w:rsidP="00172485">
            <w:r>
              <w:rPr>
                <w:rFonts w:hint="eastAsia"/>
              </w:rPr>
              <w:t>0.35</w:t>
            </w:r>
          </w:p>
        </w:tc>
        <w:tc>
          <w:tcPr>
            <w:tcW w:w="1509" w:type="dxa"/>
          </w:tcPr>
          <w:p w:rsidR="003665F6" w:rsidRDefault="003665F6" w:rsidP="00172485">
            <w:r>
              <w:rPr>
                <w:rFonts w:hint="eastAsia"/>
              </w:rPr>
              <w:t>-0.1</w:t>
            </w:r>
          </w:p>
        </w:tc>
        <w:tc>
          <w:tcPr>
            <w:tcW w:w="1509" w:type="dxa"/>
          </w:tcPr>
          <w:p w:rsidR="003665F6" w:rsidRDefault="003665F6" w:rsidP="00172485">
            <w:r>
              <w:rPr>
                <w:rFonts w:hint="eastAsia"/>
              </w:rPr>
              <w:t>0.5</w:t>
            </w:r>
          </w:p>
        </w:tc>
      </w:tr>
    </w:tbl>
    <w:p w:rsidR="003665F6" w:rsidRDefault="003665F6" w:rsidP="003665F6"/>
    <w:p w:rsidR="003665F6" w:rsidRDefault="008070B5" w:rsidP="008070B5">
      <w:r>
        <w:t xml:space="preserve">    </w:t>
      </w:r>
      <w:r w:rsidR="00717473">
        <w:tab/>
        <w:t>P</w:t>
      </w:r>
      <w:r>
        <w:rPr>
          <w:rFonts w:hint="eastAsia"/>
        </w:rPr>
        <w:t>ricing result</w:t>
      </w:r>
      <w:r w:rsidR="007E6076">
        <w:t>s</w:t>
      </w:r>
      <w:r>
        <w:rPr>
          <w:rFonts w:hint="eastAsia"/>
        </w:rPr>
        <w:t xml:space="preserve"> </w:t>
      </w:r>
      <w:r w:rsidR="007E6076">
        <w:t>are as follows</w:t>
      </w:r>
    </w:p>
    <w:tbl>
      <w:tblPr>
        <w:tblStyle w:val="TableGrid"/>
        <w:tblW w:w="0" w:type="auto"/>
        <w:tblInd w:w="607" w:type="dxa"/>
        <w:tblLook w:val="04A0" w:firstRow="1" w:lastRow="0" w:firstColumn="1" w:lastColumn="0" w:noHBand="0" w:noVBand="1"/>
      </w:tblPr>
      <w:tblGrid>
        <w:gridCol w:w="3005"/>
        <w:gridCol w:w="3005"/>
        <w:gridCol w:w="3006"/>
      </w:tblGrid>
      <w:tr w:rsidR="003665F6" w:rsidRPr="0031524F" w:rsidTr="008070B5">
        <w:tc>
          <w:tcPr>
            <w:tcW w:w="3005" w:type="dxa"/>
          </w:tcPr>
          <w:p w:rsidR="003665F6" w:rsidRPr="0031524F" w:rsidRDefault="003665F6" w:rsidP="00172485"/>
        </w:tc>
        <w:tc>
          <w:tcPr>
            <w:tcW w:w="3005" w:type="dxa"/>
          </w:tcPr>
          <w:p w:rsidR="003665F6" w:rsidRPr="008B0117" w:rsidRDefault="003665F6" w:rsidP="00172485">
            <w:pPr>
              <w:rPr>
                <w:b/>
              </w:rPr>
            </w:pPr>
            <w:r w:rsidRPr="008B0117">
              <w:rPr>
                <w:b/>
              </w:rPr>
              <w:t>Estimated price</w:t>
            </w:r>
          </w:p>
        </w:tc>
        <w:tc>
          <w:tcPr>
            <w:tcW w:w="3006" w:type="dxa"/>
          </w:tcPr>
          <w:p w:rsidR="003665F6" w:rsidRPr="008B0117" w:rsidRDefault="003665F6" w:rsidP="00172485">
            <w:pPr>
              <w:rPr>
                <w:b/>
              </w:rPr>
            </w:pPr>
            <w:r w:rsidRPr="008B0117">
              <w:rPr>
                <w:b/>
              </w:rPr>
              <w:t>Standard error</w:t>
            </w:r>
          </w:p>
        </w:tc>
      </w:tr>
      <w:tr w:rsidR="003665F6" w:rsidRPr="0031524F" w:rsidTr="008070B5">
        <w:tc>
          <w:tcPr>
            <w:tcW w:w="3005" w:type="dxa"/>
          </w:tcPr>
          <w:p w:rsidR="003665F6" w:rsidRPr="0031524F" w:rsidRDefault="003665F6" w:rsidP="00172485">
            <w:r w:rsidRPr="0031524F">
              <w:t xml:space="preserve">VG Diff Gamma </w:t>
            </w:r>
          </w:p>
        </w:tc>
        <w:tc>
          <w:tcPr>
            <w:tcW w:w="3005" w:type="dxa"/>
          </w:tcPr>
          <w:p w:rsidR="003665F6" w:rsidRPr="0031524F" w:rsidRDefault="003665F6" w:rsidP="00172485">
            <w:r w:rsidRPr="0031524F">
              <w:t>0.025807280</w:t>
            </w:r>
          </w:p>
        </w:tc>
        <w:tc>
          <w:tcPr>
            <w:tcW w:w="3006" w:type="dxa"/>
          </w:tcPr>
          <w:p w:rsidR="003665F6" w:rsidRPr="0031524F" w:rsidRDefault="003665F6" w:rsidP="00172485">
            <w:r w:rsidRPr="0031524F">
              <w:t>0.001583751</w:t>
            </w:r>
          </w:p>
        </w:tc>
      </w:tr>
      <w:tr w:rsidR="003665F6" w:rsidTr="008070B5">
        <w:tc>
          <w:tcPr>
            <w:tcW w:w="3005" w:type="dxa"/>
          </w:tcPr>
          <w:p w:rsidR="003665F6" w:rsidRPr="0031524F" w:rsidRDefault="003665F6" w:rsidP="00172485">
            <w:r w:rsidRPr="0031524F">
              <w:t>VG Importance Sampling</w:t>
            </w:r>
          </w:p>
        </w:tc>
        <w:tc>
          <w:tcPr>
            <w:tcW w:w="3005" w:type="dxa"/>
          </w:tcPr>
          <w:p w:rsidR="003665F6" w:rsidRPr="0031524F" w:rsidRDefault="003665F6" w:rsidP="00172485">
            <w:r w:rsidRPr="0031524F">
              <w:t>0.0237484936</w:t>
            </w:r>
          </w:p>
        </w:tc>
        <w:tc>
          <w:tcPr>
            <w:tcW w:w="3006" w:type="dxa"/>
          </w:tcPr>
          <w:p w:rsidR="003665F6" w:rsidRDefault="003665F6" w:rsidP="00172485">
            <w:r w:rsidRPr="0031524F">
              <w:t>0.0005620372</w:t>
            </w:r>
          </w:p>
        </w:tc>
      </w:tr>
    </w:tbl>
    <w:p w:rsidR="003665F6" w:rsidRDefault="003665F6" w:rsidP="003665F6"/>
    <w:p w:rsidR="003665F6" w:rsidRDefault="003665F6" w:rsidP="008F3F34">
      <w:pPr>
        <w:ind w:left="360"/>
        <w:jc w:val="both"/>
      </w:pPr>
      <w:r>
        <w:rPr>
          <w:rFonts w:hint="eastAsia"/>
        </w:rPr>
        <w:t xml:space="preserve">As we can see in the table, there is variance reduction for the price, but not very significant. </w:t>
      </w:r>
      <w:r>
        <w:t>Th</w:t>
      </w:r>
      <w:r w:rsidR="00EE7B23">
        <w:t>is is probably</w:t>
      </w:r>
      <w:r>
        <w:t xml:space="preserve"> </w:t>
      </w:r>
      <w:r w:rsidR="00EE7B23">
        <w:t>due to choice</w:t>
      </w:r>
      <w:r>
        <w:t xml:space="preserve"> of </w:t>
      </w:r>
      <w:r w:rsidR="00F41A9C">
        <w:t xml:space="preserve">parameters for </w:t>
      </w:r>
      <w:r w:rsidR="00EE7B23">
        <w:t xml:space="preserve">the </w:t>
      </w:r>
      <w:r>
        <w:t>new probability measure. We are still working on how to make an efficient selection of new measure parameters</w:t>
      </w:r>
      <w:r w:rsidR="008070B5" w:rsidRPr="008070B5">
        <w:rPr>
          <w:position w:val="-16"/>
        </w:rPr>
        <w:object w:dxaOrig="1060" w:dyaOrig="440">
          <v:shape id="_x0000_i1059" type="#_x0000_t75" style="width:53.3pt;height:22pt" o:ole="">
            <v:imagedata r:id="rId87" o:title=""/>
          </v:shape>
          <o:OLEObject Type="Embed" ProgID="Equation.DSMT4" ShapeID="_x0000_i1059" DrawAspect="Content" ObjectID="_1463336384" r:id="rId88"/>
        </w:object>
      </w:r>
      <w:r>
        <w:t>.</w:t>
      </w:r>
    </w:p>
    <w:p w:rsidR="004B4C9A" w:rsidRDefault="004B4C9A" w:rsidP="008F3F34">
      <w:pPr>
        <w:ind w:left="360"/>
        <w:jc w:val="both"/>
        <w:rPr>
          <w:b/>
        </w:rPr>
      </w:pPr>
      <w:bookmarkStart w:id="0" w:name="_GoBack"/>
      <w:bookmarkEnd w:id="0"/>
      <w:r w:rsidRPr="004B4C9A">
        <w:rPr>
          <w:b/>
        </w:rPr>
        <w:t>Control Variate</w:t>
      </w:r>
    </w:p>
    <w:p w:rsidR="004B4C9A" w:rsidRDefault="00A47C1F" w:rsidP="00EE7B23">
      <w:pPr>
        <w:ind w:left="360"/>
        <w:jc w:val="both"/>
      </w:pPr>
      <w:r>
        <w:t xml:space="preserve">Below are results for </w:t>
      </w:r>
      <w:r w:rsidR="00EE7B23">
        <w:t>price of</w:t>
      </w:r>
      <w:r>
        <w:t xml:space="preserve"> discretely monitored fixed strike Geometric option.</w:t>
      </w:r>
      <w:r w:rsidR="00F215C6">
        <w:t xml:space="preserve"> </w:t>
      </w:r>
      <w:r w:rsidR="00EE7B23">
        <w:t xml:space="preserve">We see </w:t>
      </w:r>
      <w:r w:rsidR="00F215C6">
        <w:t xml:space="preserve">significant </w:t>
      </w:r>
      <w:r w:rsidR="00EE7B23">
        <w:t>variance reduction in our prices compared to crude Monte Carlo estimates.</w:t>
      </w:r>
    </w:p>
    <w:tbl>
      <w:tblPr>
        <w:tblStyle w:val="TableGrid"/>
        <w:tblW w:w="0" w:type="auto"/>
        <w:tblInd w:w="607" w:type="dxa"/>
        <w:tblLook w:val="04A0" w:firstRow="1" w:lastRow="0" w:firstColumn="1" w:lastColumn="0" w:noHBand="0" w:noVBand="1"/>
      </w:tblPr>
      <w:tblGrid>
        <w:gridCol w:w="1803"/>
        <w:gridCol w:w="1803"/>
        <w:gridCol w:w="1803"/>
        <w:gridCol w:w="1803"/>
        <w:gridCol w:w="1804"/>
      </w:tblGrid>
      <w:tr w:rsidR="004B4C9A" w:rsidTr="006907A4">
        <w:tc>
          <w:tcPr>
            <w:tcW w:w="1803" w:type="dxa"/>
          </w:tcPr>
          <w:p w:rsidR="004B4C9A" w:rsidRDefault="004B4C9A" w:rsidP="00172485"/>
        </w:tc>
        <w:tc>
          <w:tcPr>
            <w:tcW w:w="3606" w:type="dxa"/>
            <w:gridSpan w:val="2"/>
          </w:tcPr>
          <w:p w:rsidR="004B4C9A" w:rsidRPr="006907A4" w:rsidRDefault="004B4C9A" w:rsidP="00172485">
            <w:pPr>
              <w:rPr>
                <w:b/>
                <w:sz w:val="22"/>
              </w:rPr>
            </w:pPr>
            <w:r w:rsidRPr="006907A4">
              <w:rPr>
                <w:b/>
                <w:sz w:val="22"/>
              </w:rPr>
              <w:t xml:space="preserve">Asian </w:t>
            </w:r>
            <w:r w:rsidRPr="006907A4">
              <w:rPr>
                <w:rFonts w:hint="eastAsia"/>
                <w:b/>
                <w:sz w:val="22"/>
              </w:rPr>
              <w:t>Call</w:t>
            </w:r>
          </w:p>
        </w:tc>
        <w:tc>
          <w:tcPr>
            <w:tcW w:w="3607" w:type="dxa"/>
            <w:gridSpan w:val="2"/>
          </w:tcPr>
          <w:p w:rsidR="004B4C9A" w:rsidRPr="006907A4" w:rsidRDefault="004B4C9A" w:rsidP="00172485">
            <w:pPr>
              <w:rPr>
                <w:b/>
                <w:sz w:val="22"/>
              </w:rPr>
            </w:pPr>
            <w:r w:rsidRPr="006907A4">
              <w:rPr>
                <w:b/>
                <w:sz w:val="22"/>
              </w:rPr>
              <w:t xml:space="preserve">Asian </w:t>
            </w:r>
            <w:r w:rsidRPr="006907A4">
              <w:rPr>
                <w:rFonts w:hint="eastAsia"/>
                <w:b/>
                <w:sz w:val="22"/>
              </w:rPr>
              <w:t>Put</w:t>
            </w:r>
          </w:p>
        </w:tc>
      </w:tr>
      <w:tr w:rsidR="004B4C9A" w:rsidTr="006907A4">
        <w:tc>
          <w:tcPr>
            <w:tcW w:w="1803" w:type="dxa"/>
          </w:tcPr>
          <w:p w:rsidR="004B4C9A" w:rsidRDefault="004B4C9A" w:rsidP="00172485"/>
        </w:tc>
        <w:tc>
          <w:tcPr>
            <w:tcW w:w="1803" w:type="dxa"/>
          </w:tcPr>
          <w:p w:rsidR="004B4C9A" w:rsidRPr="006907A4" w:rsidRDefault="004B4C9A" w:rsidP="00172485">
            <w:pPr>
              <w:rPr>
                <w:b/>
              </w:rPr>
            </w:pPr>
            <w:r w:rsidRPr="006907A4">
              <w:rPr>
                <w:b/>
              </w:rPr>
              <w:t xml:space="preserve">Estimated </w:t>
            </w:r>
            <w:r w:rsidRPr="006907A4">
              <w:rPr>
                <w:rFonts w:hint="eastAsia"/>
                <w:b/>
              </w:rPr>
              <w:t>price</w:t>
            </w:r>
          </w:p>
        </w:tc>
        <w:tc>
          <w:tcPr>
            <w:tcW w:w="1803" w:type="dxa"/>
          </w:tcPr>
          <w:p w:rsidR="004B4C9A" w:rsidRPr="006907A4" w:rsidRDefault="004B4C9A" w:rsidP="00172485">
            <w:pPr>
              <w:rPr>
                <w:b/>
              </w:rPr>
            </w:pPr>
            <w:r w:rsidRPr="006907A4">
              <w:rPr>
                <w:b/>
              </w:rPr>
              <w:t>S</w:t>
            </w:r>
            <w:r w:rsidRPr="006907A4">
              <w:rPr>
                <w:rFonts w:hint="eastAsia"/>
                <w:b/>
              </w:rPr>
              <w:t xml:space="preserve">tandard </w:t>
            </w:r>
            <w:r w:rsidRPr="006907A4">
              <w:rPr>
                <w:b/>
              </w:rPr>
              <w:t>error</w:t>
            </w:r>
          </w:p>
        </w:tc>
        <w:tc>
          <w:tcPr>
            <w:tcW w:w="1803" w:type="dxa"/>
          </w:tcPr>
          <w:p w:rsidR="004B4C9A" w:rsidRPr="006907A4" w:rsidRDefault="004B4C9A" w:rsidP="00172485">
            <w:pPr>
              <w:rPr>
                <w:b/>
              </w:rPr>
            </w:pPr>
            <w:r w:rsidRPr="006907A4">
              <w:rPr>
                <w:b/>
              </w:rPr>
              <w:t xml:space="preserve">Estimated </w:t>
            </w:r>
            <w:r w:rsidRPr="006907A4">
              <w:rPr>
                <w:rFonts w:hint="eastAsia"/>
                <w:b/>
              </w:rPr>
              <w:t>price</w:t>
            </w:r>
          </w:p>
        </w:tc>
        <w:tc>
          <w:tcPr>
            <w:tcW w:w="1804" w:type="dxa"/>
          </w:tcPr>
          <w:p w:rsidR="004B4C9A" w:rsidRPr="006907A4" w:rsidRDefault="004B4C9A" w:rsidP="00172485">
            <w:pPr>
              <w:rPr>
                <w:b/>
              </w:rPr>
            </w:pPr>
            <w:r w:rsidRPr="006907A4">
              <w:rPr>
                <w:b/>
              </w:rPr>
              <w:t>S</w:t>
            </w:r>
            <w:r w:rsidRPr="006907A4">
              <w:rPr>
                <w:rFonts w:hint="eastAsia"/>
                <w:b/>
              </w:rPr>
              <w:t xml:space="preserve">tandard </w:t>
            </w:r>
            <w:r w:rsidRPr="006907A4">
              <w:rPr>
                <w:b/>
              </w:rPr>
              <w:t>error</w:t>
            </w:r>
          </w:p>
        </w:tc>
      </w:tr>
      <w:tr w:rsidR="004B4C9A" w:rsidTr="006907A4">
        <w:tc>
          <w:tcPr>
            <w:tcW w:w="1803" w:type="dxa"/>
          </w:tcPr>
          <w:p w:rsidR="004B4C9A" w:rsidRDefault="004B4C9A" w:rsidP="00172485">
            <w:r>
              <w:rPr>
                <w:rFonts w:hint="eastAsia"/>
              </w:rPr>
              <w:t xml:space="preserve">VG </w:t>
            </w:r>
          </w:p>
        </w:tc>
        <w:tc>
          <w:tcPr>
            <w:tcW w:w="1803" w:type="dxa"/>
          </w:tcPr>
          <w:p w:rsidR="004B4C9A" w:rsidRDefault="00A1366F" w:rsidP="00C161B0">
            <w:pPr>
              <w:pStyle w:val="HTMLPreformatted"/>
              <w:wordWrap w:val="0"/>
            </w:pPr>
            <w:r w:rsidRPr="00C161B0">
              <w:rPr>
                <w:rFonts w:asciiTheme="minorHAnsi" w:eastAsiaTheme="minorEastAsia" w:hAnsiTheme="minorHAnsi" w:cstheme="minorBidi"/>
                <w:sz w:val="21"/>
                <w:szCs w:val="22"/>
              </w:rPr>
              <w:t>2.39</w:t>
            </w:r>
            <w:r w:rsidR="004A6BDA" w:rsidRPr="00C161B0">
              <w:rPr>
                <w:rFonts w:asciiTheme="minorHAnsi" w:eastAsiaTheme="minorEastAsia" w:hAnsiTheme="minorHAnsi" w:cstheme="minorBidi"/>
                <w:sz w:val="21"/>
                <w:szCs w:val="22"/>
              </w:rPr>
              <w:t>5449</w:t>
            </w:r>
          </w:p>
        </w:tc>
        <w:tc>
          <w:tcPr>
            <w:tcW w:w="1803" w:type="dxa"/>
          </w:tcPr>
          <w:p w:rsidR="004B4C9A" w:rsidRDefault="00E67BF6" w:rsidP="00C161B0">
            <w:pPr>
              <w:pStyle w:val="HTMLPreformatted"/>
              <w:wordWrap w:val="0"/>
            </w:pPr>
            <w:r w:rsidRPr="00C161B0">
              <w:rPr>
                <w:rFonts w:asciiTheme="minorHAnsi" w:eastAsiaTheme="minorEastAsia" w:hAnsiTheme="minorHAnsi" w:cstheme="minorBidi"/>
                <w:sz w:val="21"/>
                <w:szCs w:val="22"/>
              </w:rPr>
              <w:t>8.785859e-05</w:t>
            </w:r>
          </w:p>
        </w:tc>
        <w:tc>
          <w:tcPr>
            <w:tcW w:w="1803" w:type="dxa"/>
          </w:tcPr>
          <w:p w:rsidR="004B4C9A" w:rsidRDefault="0066391B" w:rsidP="00C161B0">
            <w:pPr>
              <w:pStyle w:val="HTMLPreformatted"/>
              <w:wordWrap w:val="0"/>
            </w:pPr>
            <w:r w:rsidRPr="00C161B0">
              <w:rPr>
                <w:rFonts w:asciiTheme="minorHAnsi" w:eastAsiaTheme="minorEastAsia" w:hAnsiTheme="minorHAnsi" w:cstheme="minorBidi"/>
                <w:sz w:val="21"/>
                <w:szCs w:val="22"/>
              </w:rPr>
              <w:t>10.03663</w:t>
            </w:r>
          </w:p>
        </w:tc>
        <w:tc>
          <w:tcPr>
            <w:tcW w:w="1804" w:type="dxa"/>
          </w:tcPr>
          <w:p w:rsidR="004B4C9A" w:rsidRDefault="0066391B" w:rsidP="00C161B0">
            <w:pPr>
              <w:pStyle w:val="HTMLPreformatted"/>
              <w:wordWrap w:val="0"/>
            </w:pPr>
            <w:r w:rsidRPr="00C161B0">
              <w:rPr>
                <w:rFonts w:asciiTheme="minorHAnsi" w:eastAsiaTheme="minorEastAsia" w:hAnsiTheme="minorHAnsi" w:cstheme="minorBidi"/>
                <w:sz w:val="21"/>
                <w:szCs w:val="22"/>
              </w:rPr>
              <w:t>0.0001258223</w:t>
            </w:r>
          </w:p>
        </w:tc>
      </w:tr>
    </w:tbl>
    <w:p w:rsidR="004B4C9A" w:rsidRDefault="004B4C9A" w:rsidP="008F3F34">
      <w:pPr>
        <w:ind w:left="360"/>
        <w:jc w:val="both"/>
      </w:pPr>
    </w:p>
    <w:p w:rsidR="009E6F8C" w:rsidRDefault="009E6F8C" w:rsidP="008F3F34">
      <w:pPr>
        <w:ind w:left="360"/>
        <w:jc w:val="both"/>
      </w:pPr>
    </w:p>
    <w:p w:rsidR="009E6F8C" w:rsidRDefault="009E6F8C" w:rsidP="008F3F34">
      <w:pPr>
        <w:ind w:left="360"/>
        <w:jc w:val="both"/>
      </w:pPr>
    </w:p>
    <w:p w:rsidR="008D0898" w:rsidRPr="008D0898" w:rsidRDefault="008D0898" w:rsidP="008F3F34">
      <w:pPr>
        <w:ind w:left="360"/>
        <w:jc w:val="both"/>
        <w:rPr>
          <w:rFonts w:eastAsiaTheme="minorEastAsia"/>
          <w:b/>
          <w:kern w:val="2"/>
          <w:lang w:eastAsia="zh-CN"/>
        </w:rPr>
      </w:pPr>
      <w:r w:rsidRPr="008D0898">
        <w:rPr>
          <w:b/>
        </w:rPr>
        <w:t>Greeks</w:t>
      </w:r>
    </w:p>
    <w:p w:rsidR="00F4283A" w:rsidRPr="00F4283A" w:rsidRDefault="00F4283A" w:rsidP="00AC1B4A">
      <w:pPr>
        <w:pStyle w:val="ListParagraph"/>
        <w:tabs>
          <w:tab w:val="left" w:pos="6475"/>
        </w:tabs>
        <w:spacing w:after="0" w:line="240" w:lineRule="auto"/>
        <w:ind w:left="360"/>
        <w:jc w:val="both"/>
        <w:rPr>
          <w:rFonts w:eastAsiaTheme="minorEastAsia"/>
          <w:kern w:val="2"/>
          <w:lang w:eastAsia="zh-CN"/>
        </w:rPr>
      </w:pPr>
      <w:r>
        <w:rPr>
          <w:rFonts w:eastAsiaTheme="minorEastAsia"/>
          <w:kern w:val="2"/>
          <w:lang w:eastAsia="zh-CN"/>
        </w:rPr>
        <w:t>In the graphs below we examine the behavior of changing VG parameters on Greeks. For Vega we examine a comparison between Black Scholes Vega and VG Vega.</w:t>
      </w:r>
      <w:r w:rsidR="002104F4">
        <w:rPr>
          <w:rFonts w:eastAsiaTheme="minorEastAsia"/>
          <w:kern w:val="2"/>
          <w:lang w:eastAsia="zh-CN"/>
        </w:rPr>
        <w:t xml:space="preserve"> Except Gamma, increasing nu deceases the sensitivity. In case of varying </w:t>
      </w:r>
      <w:r w:rsidR="00372C28">
        <w:rPr>
          <w:rFonts w:eastAsiaTheme="minorEastAsia"/>
          <w:kern w:val="2"/>
          <w:lang w:eastAsia="zh-CN"/>
        </w:rPr>
        <w:t>T</w:t>
      </w:r>
      <w:r w:rsidR="002104F4">
        <w:rPr>
          <w:rFonts w:eastAsiaTheme="minorEastAsia"/>
          <w:kern w:val="2"/>
          <w:lang w:eastAsia="zh-CN"/>
        </w:rPr>
        <w:t>heta,</w:t>
      </w:r>
      <w:r w:rsidR="00372C28">
        <w:rPr>
          <w:rFonts w:eastAsiaTheme="minorEastAsia"/>
          <w:kern w:val="2"/>
          <w:lang w:eastAsia="zh-CN"/>
        </w:rPr>
        <w:t xml:space="preserve"> Delta and R</w:t>
      </w:r>
      <w:r w:rsidR="002104F4">
        <w:rPr>
          <w:rFonts w:eastAsiaTheme="minorEastAsia"/>
          <w:kern w:val="2"/>
          <w:lang w:eastAsia="zh-CN"/>
        </w:rPr>
        <w:t>ho as moronically de</w:t>
      </w:r>
      <w:r w:rsidR="00B54197">
        <w:rPr>
          <w:rFonts w:eastAsiaTheme="minorEastAsia"/>
          <w:kern w:val="2"/>
          <w:lang w:eastAsia="zh-CN"/>
        </w:rPr>
        <w:t>creasing but G</w:t>
      </w:r>
      <w:r w:rsidR="002104F4">
        <w:rPr>
          <w:rFonts w:eastAsiaTheme="minorEastAsia"/>
          <w:kern w:val="2"/>
          <w:lang w:eastAsia="zh-CN"/>
        </w:rPr>
        <w:t xml:space="preserve">amma and </w:t>
      </w:r>
      <w:r w:rsidR="00B54197">
        <w:rPr>
          <w:rFonts w:eastAsiaTheme="minorEastAsia"/>
          <w:kern w:val="2"/>
          <w:lang w:eastAsia="zh-CN"/>
        </w:rPr>
        <w:t>Vega</w:t>
      </w:r>
      <w:r w:rsidR="002104F4">
        <w:rPr>
          <w:rFonts w:eastAsiaTheme="minorEastAsia"/>
          <w:kern w:val="2"/>
          <w:lang w:eastAsia="zh-CN"/>
        </w:rPr>
        <w:t xml:space="preserve"> peak at the origin and decrease on either sides. For sigma, we notice the dissimilarity between sensitivities of Black-Scholes and VG as sigma becomes larger.</w:t>
      </w:r>
      <w:r w:rsidR="00AC1B4A">
        <w:rPr>
          <w:rFonts w:eastAsiaTheme="minorEastAsia"/>
          <w:kern w:val="2"/>
          <w:lang w:eastAsia="zh-CN"/>
        </w:rPr>
        <w:t xml:space="preserve"> In case of </w:t>
      </w:r>
      <w:r w:rsidR="003665F6">
        <w:rPr>
          <w:rFonts w:eastAsiaTheme="minorEastAsia"/>
          <w:kern w:val="2"/>
          <w:lang w:eastAsia="zh-CN"/>
        </w:rPr>
        <w:t>Vega</w:t>
      </w:r>
      <w:r w:rsidR="00AC1B4A">
        <w:rPr>
          <w:rFonts w:eastAsiaTheme="minorEastAsia"/>
          <w:kern w:val="2"/>
          <w:lang w:eastAsia="zh-CN"/>
        </w:rPr>
        <w:t xml:space="preserve"> the effect is more pronounced in all ranges of sigma.</w:t>
      </w:r>
      <w:r w:rsidR="002104F4">
        <w:rPr>
          <w:rFonts w:eastAsiaTheme="minorEastAsia"/>
          <w:kern w:val="2"/>
          <w:lang w:eastAsia="zh-CN"/>
        </w:rPr>
        <w:t xml:space="preserve"> </w:t>
      </w:r>
    </w:p>
    <w:p w:rsidR="00B326F5" w:rsidRDefault="004B30B1" w:rsidP="00B326F5">
      <w:pPr>
        <w:pStyle w:val="ListParagraph"/>
        <w:tabs>
          <w:tab w:val="left" w:pos="6475"/>
        </w:tabs>
        <w:ind w:left="360"/>
        <w:rPr>
          <w:rFonts w:eastAsiaTheme="minorEastAsia"/>
          <w:lang w:eastAsia="zh-CN"/>
        </w:rPr>
      </w:pPr>
      <w:r w:rsidRPr="004B30B1">
        <w:rPr>
          <w:rFonts w:eastAsiaTheme="minorEastAsia"/>
          <w:noProof/>
        </w:rPr>
        <w:lastRenderedPageBreak/>
        <w:drawing>
          <wp:inline distT="0" distB="0" distL="0" distR="0">
            <wp:extent cx="3313430" cy="2976664"/>
            <wp:effectExtent l="0" t="0" r="1270" b="0"/>
            <wp:docPr id="2" name="Picture 2" descr="C:\Users\SonaliAndRohit\Documents\GitHub\VG-MonteCarlo\plots\Greeks vs. nu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SonaliAndRohit\Documents\GitHub\VG-MonteCarlo\plots\Greeks vs. nu_new.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324783" cy="2986863"/>
                    </a:xfrm>
                    <a:prstGeom prst="rect">
                      <a:avLst/>
                    </a:prstGeom>
                    <a:noFill/>
                    <a:ln>
                      <a:noFill/>
                    </a:ln>
                  </pic:spPr>
                </pic:pic>
              </a:graphicData>
            </a:graphic>
          </wp:inline>
        </w:drawing>
      </w:r>
      <w:r w:rsidRPr="004B30B1">
        <w:rPr>
          <w:rFonts w:eastAsiaTheme="minorEastAsia"/>
          <w:noProof/>
        </w:rPr>
        <w:drawing>
          <wp:inline distT="0" distB="0" distL="0" distR="0" wp14:anchorId="476EE783" wp14:editId="04B45FD7">
            <wp:extent cx="3183890" cy="2944238"/>
            <wp:effectExtent l="0" t="0" r="0" b="8890"/>
            <wp:docPr id="3" name="Picture 3" descr="C:\Users\SonaliAndRohit\Documents\GitHub\VG-MonteCarlo\plots\Greeks vs. thet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SonaliAndRohit\Documents\GitHub\VG-MonteCarlo\plots\Greeks vs. theta_new.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198393" cy="2957650"/>
                    </a:xfrm>
                    <a:prstGeom prst="rect">
                      <a:avLst/>
                    </a:prstGeom>
                    <a:noFill/>
                    <a:ln>
                      <a:noFill/>
                    </a:ln>
                  </pic:spPr>
                </pic:pic>
              </a:graphicData>
            </a:graphic>
          </wp:inline>
        </w:drawing>
      </w:r>
    </w:p>
    <w:p w:rsidR="00F4283A" w:rsidRDefault="00F4283A" w:rsidP="00F4283A">
      <w:pPr>
        <w:pStyle w:val="ListParagraph"/>
        <w:tabs>
          <w:tab w:val="left" w:pos="6475"/>
        </w:tabs>
        <w:ind w:left="360"/>
        <w:jc w:val="center"/>
        <w:rPr>
          <w:rFonts w:eastAsiaTheme="minorEastAsia"/>
          <w:lang w:eastAsia="zh-CN"/>
        </w:rPr>
      </w:pPr>
      <w:r w:rsidRPr="00F4283A">
        <w:rPr>
          <w:rFonts w:eastAsiaTheme="minorEastAsia"/>
          <w:noProof/>
        </w:rPr>
        <w:drawing>
          <wp:inline distT="0" distB="0" distL="0" distR="0">
            <wp:extent cx="3527546" cy="3455282"/>
            <wp:effectExtent l="0" t="0" r="0" b="0"/>
            <wp:docPr id="4" name="Picture 4" descr="C:\Users\SonaliAndRohit\Documents\GitHub\VG-MonteCarlo\plots\Greeks vs. sigm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SonaliAndRohit\Documents\GitHub\VG-MonteCarlo\plots\Greeks vs. sigma_new.png"/>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3550735" cy="3477996"/>
                    </a:xfrm>
                    <a:prstGeom prst="rect">
                      <a:avLst/>
                    </a:prstGeom>
                    <a:noFill/>
                    <a:ln>
                      <a:noFill/>
                    </a:ln>
                  </pic:spPr>
                </pic:pic>
              </a:graphicData>
            </a:graphic>
          </wp:inline>
        </w:drawing>
      </w:r>
    </w:p>
    <w:p w:rsidR="002822B8" w:rsidRDefault="00477E98" w:rsidP="002822B8">
      <w:pPr>
        <w:jc w:val="both"/>
      </w:pPr>
      <w:r>
        <w:rPr>
          <w:rFonts w:eastAsiaTheme="minorEastAsia"/>
          <w:lang w:eastAsia="zh-CN"/>
        </w:rPr>
        <w:t xml:space="preserve">The following table shows the results for calculating Greeks using </w:t>
      </w:r>
      <w:r w:rsidR="002822B8">
        <w:rPr>
          <w:rFonts w:eastAsiaTheme="minorEastAsia"/>
          <w:lang w:eastAsia="zh-CN"/>
        </w:rPr>
        <w:t>finite difference</w:t>
      </w:r>
      <w:r>
        <w:rPr>
          <w:rFonts w:eastAsiaTheme="minorEastAsia"/>
          <w:lang w:eastAsia="zh-CN"/>
        </w:rPr>
        <w:t xml:space="preserve"> Monte Carlo, IPA and Fourier transform</w:t>
      </w:r>
      <w:r w:rsidR="002822B8">
        <w:rPr>
          <w:rFonts w:eastAsiaTheme="minorEastAsia"/>
          <w:lang w:eastAsia="zh-CN"/>
        </w:rPr>
        <w:t xml:space="preserve"> methods</w:t>
      </w:r>
      <w:r>
        <w:rPr>
          <w:rFonts w:eastAsiaTheme="minorEastAsia"/>
          <w:lang w:eastAsia="zh-CN"/>
        </w:rPr>
        <w:t xml:space="preserve">. We see that our IPA estimates are close to the Fourier estimates and </w:t>
      </w:r>
      <w:r w:rsidR="002822B8">
        <w:rPr>
          <w:rFonts w:eastAsiaTheme="minorEastAsia"/>
          <w:lang w:eastAsia="zh-CN"/>
        </w:rPr>
        <w:t xml:space="preserve">finite difference </w:t>
      </w:r>
      <w:r>
        <w:rPr>
          <w:rFonts w:eastAsiaTheme="minorEastAsia"/>
          <w:lang w:eastAsia="zh-CN"/>
        </w:rPr>
        <w:t>estimates except for Gamma. In case of Gamma we see a high standard error and that is expected as we did not calculate an optimal step size for Gamma.</w:t>
      </w:r>
      <w:r w:rsidR="002822B8">
        <w:rPr>
          <w:rFonts w:eastAsiaTheme="minorEastAsia"/>
          <w:lang w:eastAsia="zh-CN"/>
        </w:rPr>
        <w:t xml:space="preserve"> S</w:t>
      </w:r>
      <w:r w:rsidR="002822B8">
        <w:t>tandard errors of finite difference method are higher than pathwise method. Therefore, pathwise derivative performs better than finite difference.</w:t>
      </w:r>
    </w:p>
    <w:tbl>
      <w:tblPr>
        <w:tblStyle w:val="TableGrid"/>
        <w:tblW w:w="0" w:type="auto"/>
        <w:jc w:val="center"/>
        <w:tblLook w:val="04A0" w:firstRow="1" w:lastRow="0" w:firstColumn="1" w:lastColumn="0" w:noHBand="0" w:noVBand="1"/>
      </w:tblPr>
      <w:tblGrid>
        <w:gridCol w:w="3005"/>
        <w:gridCol w:w="3005"/>
        <w:gridCol w:w="3006"/>
      </w:tblGrid>
      <w:tr w:rsidR="00096251" w:rsidRPr="001C1518" w:rsidTr="00096251">
        <w:trPr>
          <w:jc w:val="center"/>
        </w:trPr>
        <w:tc>
          <w:tcPr>
            <w:tcW w:w="3005" w:type="dxa"/>
          </w:tcPr>
          <w:p w:rsidR="00096251" w:rsidRPr="001C1518" w:rsidRDefault="00096251" w:rsidP="00172485"/>
        </w:tc>
        <w:tc>
          <w:tcPr>
            <w:tcW w:w="3005" w:type="dxa"/>
          </w:tcPr>
          <w:p w:rsidR="00096251" w:rsidRPr="00477E98" w:rsidRDefault="00096251" w:rsidP="00172485">
            <w:pPr>
              <w:rPr>
                <w:b/>
              </w:rPr>
            </w:pPr>
            <w:r w:rsidRPr="00477E98">
              <w:rPr>
                <w:b/>
              </w:rPr>
              <w:t>European Call Greek Value</w:t>
            </w:r>
          </w:p>
        </w:tc>
        <w:tc>
          <w:tcPr>
            <w:tcW w:w="3006" w:type="dxa"/>
          </w:tcPr>
          <w:p w:rsidR="00096251" w:rsidRPr="00477E98" w:rsidRDefault="00096251" w:rsidP="00172485">
            <w:pPr>
              <w:rPr>
                <w:b/>
              </w:rPr>
            </w:pPr>
            <w:r w:rsidRPr="00477E98">
              <w:rPr>
                <w:rFonts w:hint="eastAsia"/>
                <w:b/>
              </w:rPr>
              <w:t>Standard Error</w:t>
            </w:r>
          </w:p>
        </w:tc>
      </w:tr>
      <w:tr w:rsidR="00096251" w:rsidRPr="001C1518" w:rsidTr="00096251">
        <w:trPr>
          <w:jc w:val="center"/>
        </w:trPr>
        <w:tc>
          <w:tcPr>
            <w:tcW w:w="3005" w:type="dxa"/>
          </w:tcPr>
          <w:p w:rsidR="00096251" w:rsidRPr="00477E98" w:rsidRDefault="00096251" w:rsidP="00172485">
            <w:pPr>
              <w:rPr>
                <w:b/>
              </w:rPr>
            </w:pPr>
            <w:r w:rsidRPr="00477E98">
              <w:rPr>
                <w:b/>
              </w:rPr>
              <w:t>Delta diff</w:t>
            </w:r>
          </w:p>
        </w:tc>
        <w:tc>
          <w:tcPr>
            <w:tcW w:w="3005" w:type="dxa"/>
          </w:tcPr>
          <w:p w:rsidR="00096251" w:rsidRPr="001C1518" w:rsidRDefault="00096251" w:rsidP="00172485">
            <w:r w:rsidRPr="001C1518">
              <w:t>0.47934777</w:t>
            </w:r>
          </w:p>
        </w:tc>
        <w:tc>
          <w:tcPr>
            <w:tcW w:w="3006" w:type="dxa"/>
          </w:tcPr>
          <w:p w:rsidR="00096251" w:rsidRPr="001C1518" w:rsidRDefault="00096251" w:rsidP="00172485">
            <w:r w:rsidRPr="001C1518">
              <w:t>0.03566071</w:t>
            </w:r>
          </w:p>
        </w:tc>
      </w:tr>
      <w:tr w:rsidR="00096251" w:rsidRPr="001C1518" w:rsidTr="00096251">
        <w:trPr>
          <w:jc w:val="center"/>
        </w:trPr>
        <w:tc>
          <w:tcPr>
            <w:tcW w:w="3005" w:type="dxa"/>
          </w:tcPr>
          <w:p w:rsidR="00096251" w:rsidRPr="00477E98" w:rsidRDefault="00096251" w:rsidP="00172485">
            <w:pPr>
              <w:rPr>
                <w:b/>
              </w:rPr>
            </w:pPr>
            <w:r w:rsidRPr="00477E98">
              <w:rPr>
                <w:b/>
              </w:rPr>
              <w:t>Delta pathwise</w:t>
            </w:r>
          </w:p>
        </w:tc>
        <w:tc>
          <w:tcPr>
            <w:tcW w:w="3005" w:type="dxa"/>
          </w:tcPr>
          <w:p w:rsidR="00096251" w:rsidRPr="001C1518" w:rsidRDefault="00096251" w:rsidP="00172485">
            <w:r w:rsidRPr="001C1518">
              <w:t>0.465494395</w:t>
            </w:r>
          </w:p>
        </w:tc>
        <w:tc>
          <w:tcPr>
            <w:tcW w:w="3006" w:type="dxa"/>
          </w:tcPr>
          <w:p w:rsidR="00096251" w:rsidRPr="001C1518" w:rsidRDefault="00096251" w:rsidP="00172485">
            <w:r w:rsidRPr="001C1518">
              <w:t>0.001945311</w:t>
            </w:r>
          </w:p>
        </w:tc>
      </w:tr>
      <w:tr w:rsidR="00096251" w:rsidRPr="001C1518" w:rsidTr="00096251">
        <w:trPr>
          <w:jc w:val="center"/>
        </w:trPr>
        <w:tc>
          <w:tcPr>
            <w:tcW w:w="3005" w:type="dxa"/>
          </w:tcPr>
          <w:p w:rsidR="00096251" w:rsidRPr="00477E98" w:rsidRDefault="00096251" w:rsidP="00172485">
            <w:pPr>
              <w:rPr>
                <w:b/>
              </w:rPr>
            </w:pPr>
            <w:r w:rsidRPr="00477E98">
              <w:rPr>
                <w:b/>
              </w:rPr>
              <w:t xml:space="preserve">Delta </w:t>
            </w:r>
            <w:r w:rsidR="00477E98" w:rsidRPr="00477E98">
              <w:rPr>
                <w:b/>
              </w:rPr>
              <w:t>Fourier</w:t>
            </w:r>
          </w:p>
        </w:tc>
        <w:tc>
          <w:tcPr>
            <w:tcW w:w="3005" w:type="dxa"/>
          </w:tcPr>
          <w:p w:rsidR="00096251" w:rsidRPr="001C1518" w:rsidRDefault="00096251" w:rsidP="00172485">
            <w:r w:rsidRPr="001C1518">
              <w:t>0.4653853</w:t>
            </w:r>
          </w:p>
        </w:tc>
        <w:tc>
          <w:tcPr>
            <w:tcW w:w="3006" w:type="dxa"/>
          </w:tcPr>
          <w:p w:rsidR="00096251" w:rsidRPr="001C1518" w:rsidRDefault="00096251" w:rsidP="00172485">
            <w:r w:rsidRPr="001C1518">
              <w:t>NA</w:t>
            </w:r>
          </w:p>
        </w:tc>
      </w:tr>
      <w:tr w:rsidR="00096251" w:rsidRPr="001C1518" w:rsidTr="00096251">
        <w:trPr>
          <w:jc w:val="center"/>
        </w:trPr>
        <w:tc>
          <w:tcPr>
            <w:tcW w:w="3005" w:type="dxa"/>
          </w:tcPr>
          <w:p w:rsidR="00096251" w:rsidRPr="00477E98" w:rsidRDefault="00096251" w:rsidP="00172485">
            <w:pPr>
              <w:rPr>
                <w:b/>
              </w:rPr>
            </w:pPr>
            <w:r w:rsidRPr="00477E98">
              <w:rPr>
                <w:b/>
              </w:rPr>
              <w:t>Gamma diff</w:t>
            </w:r>
          </w:p>
        </w:tc>
        <w:tc>
          <w:tcPr>
            <w:tcW w:w="3005" w:type="dxa"/>
          </w:tcPr>
          <w:p w:rsidR="00096251" w:rsidRPr="001C1518" w:rsidRDefault="00096251" w:rsidP="00172485">
            <w:r w:rsidRPr="001C1518">
              <w:t>0.09000361</w:t>
            </w:r>
          </w:p>
        </w:tc>
        <w:tc>
          <w:tcPr>
            <w:tcW w:w="3006" w:type="dxa"/>
          </w:tcPr>
          <w:p w:rsidR="00096251" w:rsidRPr="001C1518" w:rsidRDefault="00096251" w:rsidP="00172485">
            <w:r w:rsidRPr="001C1518">
              <w:t>0.12400942</w:t>
            </w:r>
          </w:p>
        </w:tc>
      </w:tr>
      <w:tr w:rsidR="00096251" w:rsidRPr="001C1518" w:rsidTr="00096251">
        <w:trPr>
          <w:jc w:val="center"/>
        </w:trPr>
        <w:tc>
          <w:tcPr>
            <w:tcW w:w="3005" w:type="dxa"/>
          </w:tcPr>
          <w:p w:rsidR="00096251" w:rsidRPr="00477E98" w:rsidRDefault="00096251" w:rsidP="00172485">
            <w:pPr>
              <w:rPr>
                <w:b/>
              </w:rPr>
            </w:pPr>
            <w:r w:rsidRPr="00477E98">
              <w:rPr>
                <w:b/>
              </w:rPr>
              <w:t>Gamma pathwise</w:t>
            </w:r>
          </w:p>
        </w:tc>
        <w:tc>
          <w:tcPr>
            <w:tcW w:w="3005" w:type="dxa"/>
          </w:tcPr>
          <w:p w:rsidR="00096251" w:rsidRPr="001C1518" w:rsidRDefault="00096251" w:rsidP="00172485">
            <w:r w:rsidRPr="001C1518">
              <w:t>0.018325135</w:t>
            </w:r>
          </w:p>
        </w:tc>
        <w:tc>
          <w:tcPr>
            <w:tcW w:w="3006" w:type="dxa"/>
          </w:tcPr>
          <w:p w:rsidR="00096251" w:rsidRPr="001C1518" w:rsidRDefault="00096251" w:rsidP="00172485">
            <w:r w:rsidRPr="001C1518">
              <w:t>0.001374918</w:t>
            </w:r>
          </w:p>
        </w:tc>
      </w:tr>
      <w:tr w:rsidR="00096251" w:rsidRPr="001C1518" w:rsidTr="00096251">
        <w:trPr>
          <w:jc w:val="center"/>
        </w:trPr>
        <w:tc>
          <w:tcPr>
            <w:tcW w:w="3005" w:type="dxa"/>
          </w:tcPr>
          <w:p w:rsidR="00096251" w:rsidRPr="00477E98" w:rsidRDefault="00096251" w:rsidP="00172485">
            <w:pPr>
              <w:rPr>
                <w:b/>
              </w:rPr>
            </w:pPr>
            <w:r w:rsidRPr="00477E98">
              <w:rPr>
                <w:b/>
              </w:rPr>
              <w:t xml:space="preserve">Gamma </w:t>
            </w:r>
            <w:r w:rsidR="00477E98" w:rsidRPr="00477E98">
              <w:rPr>
                <w:b/>
              </w:rPr>
              <w:t>Fourier</w:t>
            </w:r>
          </w:p>
        </w:tc>
        <w:tc>
          <w:tcPr>
            <w:tcW w:w="3005" w:type="dxa"/>
          </w:tcPr>
          <w:p w:rsidR="00096251" w:rsidRPr="001C1518" w:rsidRDefault="00096251" w:rsidP="00172485">
            <w:r w:rsidRPr="001C1518">
              <w:t>0.01978011</w:t>
            </w:r>
          </w:p>
        </w:tc>
        <w:tc>
          <w:tcPr>
            <w:tcW w:w="3006" w:type="dxa"/>
          </w:tcPr>
          <w:p w:rsidR="00096251" w:rsidRPr="001C1518" w:rsidRDefault="00096251" w:rsidP="00172485">
            <w:r w:rsidRPr="001C1518">
              <w:t>NA</w:t>
            </w:r>
          </w:p>
        </w:tc>
      </w:tr>
      <w:tr w:rsidR="00096251" w:rsidRPr="001C1518" w:rsidTr="00096251">
        <w:trPr>
          <w:jc w:val="center"/>
        </w:trPr>
        <w:tc>
          <w:tcPr>
            <w:tcW w:w="3005" w:type="dxa"/>
          </w:tcPr>
          <w:p w:rsidR="00096251" w:rsidRPr="00477E98" w:rsidRDefault="00096251" w:rsidP="00172485">
            <w:pPr>
              <w:rPr>
                <w:b/>
              </w:rPr>
            </w:pPr>
            <w:r w:rsidRPr="00477E98">
              <w:rPr>
                <w:b/>
              </w:rPr>
              <w:t>Rho diff</w:t>
            </w:r>
          </w:p>
        </w:tc>
        <w:tc>
          <w:tcPr>
            <w:tcW w:w="3005" w:type="dxa"/>
          </w:tcPr>
          <w:p w:rsidR="00096251" w:rsidRPr="001C1518" w:rsidRDefault="00096251" w:rsidP="00172485">
            <w:r w:rsidRPr="001C1518">
              <w:t>39.6033748</w:t>
            </w:r>
          </w:p>
        </w:tc>
        <w:tc>
          <w:tcPr>
            <w:tcW w:w="3006" w:type="dxa"/>
          </w:tcPr>
          <w:p w:rsidR="00096251" w:rsidRPr="001C1518" w:rsidRDefault="00096251" w:rsidP="00172485">
            <w:r w:rsidRPr="001C1518">
              <w:t>0.3656007</w:t>
            </w:r>
          </w:p>
        </w:tc>
      </w:tr>
      <w:tr w:rsidR="00096251" w:rsidRPr="001C1518" w:rsidTr="00096251">
        <w:trPr>
          <w:jc w:val="center"/>
        </w:trPr>
        <w:tc>
          <w:tcPr>
            <w:tcW w:w="3005" w:type="dxa"/>
          </w:tcPr>
          <w:p w:rsidR="00096251" w:rsidRPr="00477E98" w:rsidRDefault="00096251" w:rsidP="00172485">
            <w:pPr>
              <w:rPr>
                <w:b/>
              </w:rPr>
            </w:pPr>
            <w:r w:rsidRPr="00477E98">
              <w:rPr>
                <w:b/>
              </w:rPr>
              <w:t>Rho pathwise</w:t>
            </w:r>
          </w:p>
        </w:tc>
        <w:tc>
          <w:tcPr>
            <w:tcW w:w="3005" w:type="dxa"/>
          </w:tcPr>
          <w:p w:rsidR="00096251" w:rsidRPr="001C1518" w:rsidRDefault="00096251" w:rsidP="00172485">
            <w:r w:rsidRPr="001C1518">
              <w:t>38.9640694</w:t>
            </w:r>
          </w:p>
        </w:tc>
        <w:tc>
          <w:tcPr>
            <w:tcW w:w="3006" w:type="dxa"/>
          </w:tcPr>
          <w:p w:rsidR="00096251" w:rsidRPr="001C1518" w:rsidRDefault="00096251" w:rsidP="00172485">
            <w:r w:rsidRPr="001C1518">
              <w:t>0.1599638</w:t>
            </w:r>
          </w:p>
        </w:tc>
      </w:tr>
      <w:tr w:rsidR="00096251" w:rsidRPr="001C1518" w:rsidTr="00096251">
        <w:trPr>
          <w:jc w:val="center"/>
        </w:trPr>
        <w:tc>
          <w:tcPr>
            <w:tcW w:w="3005" w:type="dxa"/>
          </w:tcPr>
          <w:p w:rsidR="00096251" w:rsidRPr="00477E98" w:rsidRDefault="00096251" w:rsidP="00172485">
            <w:pPr>
              <w:rPr>
                <w:b/>
              </w:rPr>
            </w:pPr>
            <w:r w:rsidRPr="00477E98">
              <w:rPr>
                <w:b/>
              </w:rPr>
              <w:t xml:space="preserve">Rho </w:t>
            </w:r>
            <w:r w:rsidR="00477E98" w:rsidRPr="00477E98">
              <w:rPr>
                <w:b/>
              </w:rPr>
              <w:t>Fourier</w:t>
            </w:r>
          </w:p>
        </w:tc>
        <w:tc>
          <w:tcPr>
            <w:tcW w:w="3005" w:type="dxa"/>
          </w:tcPr>
          <w:p w:rsidR="00096251" w:rsidRPr="001C1518" w:rsidRDefault="00096251" w:rsidP="00172485">
            <w:r w:rsidRPr="001C1518">
              <w:t>39.13612</w:t>
            </w:r>
          </w:p>
        </w:tc>
        <w:tc>
          <w:tcPr>
            <w:tcW w:w="3006" w:type="dxa"/>
          </w:tcPr>
          <w:p w:rsidR="00096251" w:rsidRPr="001C1518" w:rsidRDefault="00096251" w:rsidP="00172485">
            <w:r w:rsidRPr="001C1518">
              <w:t>NA</w:t>
            </w:r>
          </w:p>
        </w:tc>
      </w:tr>
    </w:tbl>
    <w:p w:rsidR="00096251" w:rsidRDefault="00096251" w:rsidP="00B326F5">
      <w:pPr>
        <w:pStyle w:val="ListParagraph"/>
        <w:tabs>
          <w:tab w:val="left" w:pos="6475"/>
        </w:tabs>
        <w:ind w:left="360"/>
        <w:rPr>
          <w:rFonts w:eastAsiaTheme="minorEastAsia"/>
          <w:lang w:eastAsia="zh-CN"/>
        </w:rPr>
      </w:pPr>
    </w:p>
    <w:p w:rsidR="00B326F5" w:rsidRDefault="00B326F5" w:rsidP="00B326F5">
      <w:pPr>
        <w:pStyle w:val="ListParagraph"/>
        <w:tabs>
          <w:tab w:val="left" w:pos="6475"/>
        </w:tabs>
        <w:ind w:left="360"/>
        <w:rPr>
          <w:rFonts w:eastAsiaTheme="minorEastAsia"/>
          <w:lang w:eastAsia="zh-CN"/>
        </w:rPr>
      </w:pPr>
    </w:p>
    <w:p w:rsidR="00B326F5" w:rsidRPr="001D65FB" w:rsidRDefault="00B326F5" w:rsidP="00B326F5">
      <w:pPr>
        <w:pStyle w:val="Heading1"/>
        <w:rPr>
          <w:rFonts w:ascii="Arial" w:hAnsi="Arial" w:cs="Arial"/>
        </w:rPr>
      </w:pPr>
      <w:r w:rsidRPr="001D65FB">
        <w:rPr>
          <w:rFonts w:ascii="Arial" w:hAnsi="Arial" w:cs="Arial"/>
          <w:b/>
          <w:color w:val="auto"/>
        </w:rPr>
        <w:t>Reference</w:t>
      </w:r>
      <w:r>
        <w:rPr>
          <w:rFonts w:ascii="Arial" w:hAnsi="Arial" w:cs="Arial"/>
          <w:b/>
          <w:color w:val="auto"/>
        </w:rPr>
        <w:t>s</w:t>
      </w:r>
    </w:p>
    <w:p w:rsidR="00B326F5" w:rsidRPr="00524846" w:rsidRDefault="00B326F5" w:rsidP="00B326F5">
      <w:pPr>
        <w:pStyle w:val="ListParagraph"/>
        <w:widowControl w:val="0"/>
        <w:numPr>
          <w:ilvl w:val="0"/>
          <w:numId w:val="2"/>
        </w:numPr>
        <w:spacing w:afterLines="50" w:after="120" w:line="240" w:lineRule="auto"/>
        <w:contextualSpacing w:val="0"/>
        <w:jc w:val="both"/>
        <w:rPr>
          <w:noProof/>
        </w:rPr>
      </w:pPr>
      <w:r w:rsidRPr="00524846">
        <w:rPr>
          <w:noProof/>
        </w:rPr>
        <w:t>Madan, Dilip B.; Seneta, Eugene (1990). "The Variance Gamma (V.G.) Model for Share Market Returns". </w:t>
      </w:r>
      <w:hyperlink r:id="rId92" w:tooltip="Journal of Business" w:history="1">
        <w:r w:rsidRPr="00524846">
          <w:rPr>
            <w:noProof/>
          </w:rPr>
          <w:t>Journal of Business</w:t>
        </w:r>
      </w:hyperlink>
      <w:r w:rsidRPr="00524846">
        <w:rPr>
          <w:noProof/>
        </w:rPr>
        <w:t> 63 (4): 511–524</w:t>
      </w:r>
    </w:p>
    <w:p w:rsidR="00B326F5" w:rsidRDefault="00B326F5" w:rsidP="00B326F5">
      <w:pPr>
        <w:pStyle w:val="ListParagraph"/>
        <w:widowControl w:val="0"/>
        <w:numPr>
          <w:ilvl w:val="0"/>
          <w:numId w:val="2"/>
        </w:numPr>
        <w:spacing w:afterLines="50" w:after="120" w:line="240" w:lineRule="auto"/>
        <w:contextualSpacing w:val="0"/>
        <w:jc w:val="both"/>
        <w:rPr>
          <w:noProof/>
        </w:rPr>
      </w:pPr>
      <w:r w:rsidRPr="00EB44FF">
        <w:rPr>
          <w:noProof/>
        </w:rPr>
        <w:t xml:space="preserve">Fu, MichaelC. "Variance-Gamma and Monte Carlo." In </w:t>
      </w:r>
      <w:r w:rsidRPr="00F62C91">
        <w:rPr>
          <w:noProof/>
        </w:rPr>
        <w:t>Advances in Mathematical Finance</w:t>
      </w:r>
      <w:r w:rsidRPr="00EB44FF">
        <w:rPr>
          <w:noProof/>
        </w:rPr>
        <w:t>, edited by MichaelC Fu, RobertA Jarrow, Ju-YiJ Yen and RobertJ Elliott, 21-34: Birkhäuser Boston, 2007.</w:t>
      </w:r>
    </w:p>
    <w:p w:rsidR="00B326F5" w:rsidRDefault="00B326F5" w:rsidP="00B326F5">
      <w:pPr>
        <w:pStyle w:val="ListParagraph"/>
        <w:widowControl w:val="0"/>
        <w:numPr>
          <w:ilvl w:val="0"/>
          <w:numId w:val="2"/>
        </w:numPr>
        <w:spacing w:afterLines="50" w:after="120" w:line="240" w:lineRule="auto"/>
        <w:contextualSpacing w:val="0"/>
        <w:jc w:val="both"/>
        <w:rPr>
          <w:noProof/>
        </w:rPr>
      </w:pPr>
      <w:r w:rsidRPr="00F62C91">
        <w:rPr>
          <w:noProof/>
        </w:rPr>
        <w:t>Dilip Madan, Peter Carr, Eric Chang (1998). </w:t>
      </w:r>
      <w:hyperlink r:id="rId93" w:history="1">
        <w:r w:rsidRPr="00F62C91">
          <w:rPr>
            <w:noProof/>
          </w:rPr>
          <w:t>"The Variance Gamma Process and Option Pricing"</w:t>
        </w:r>
      </w:hyperlink>
      <w:r w:rsidRPr="00F62C91">
        <w:rPr>
          <w:noProof/>
        </w:rPr>
        <w:t>. European FinanceReview 2: 79–105</w:t>
      </w:r>
    </w:p>
    <w:p w:rsidR="006031EB" w:rsidRDefault="006031EB" w:rsidP="00B326F5">
      <w:pPr>
        <w:pStyle w:val="ListParagraph"/>
        <w:widowControl w:val="0"/>
        <w:numPr>
          <w:ilvl w:val="0"/>
          <w:numId w:val="2"/>
        </w:numPr>
        <w:spacing w:afterLines="50" w:after="120" w:line="240" w:lineRule="auto"/>
        <w:contextualSpacing w:val="0"/>
        <w:jc w:val="both"/>
        <w:rPr>
          <w:noProof/>
        </w:rPr>
      </w:pPr>
      <w:r w:rsidRPr="006031EB">
        <w:rPr>
          <w:noProof/>
        </w:rPr>
        <w:t>Carr, P., and Madan, D. (1999). "Option valuation using the fast Fourier transform"</w:t>
      </w:r>
      <w:r w:rsidR="00392715">
        <w:rPr>
          <w:noProof/>
        </w:rPr>
        <w:t>,</w:t>
      </w:r>
      <w:r w:rsidRPr="006031EB">
        <w:rPr>
          <w:noProof/>
        </w:rPr>
        <w:t> The Journal of Computational Finance 2(4), 61–73</w:t>
      </w:r>
    </w:p>
    <w:p w:rsidR="00AD7C52" w:rsidRDefault="00AD7C52" w:rsidP="00B326F5">
      <w:pPr>
        <w:pStyle w:val="ListParagraph"/>
        <w:widowControl w:val="0"/>
        <w:numPr>
          <w:ilvl w:val="0"/>
          <w:numId w:val="2"/>
        </w:numPr>
        <w:spacing w:afterLines="50" w:after="120" w:line="240" w:lineRule="auto"/>
        <w:contextualSpacing w:val="0"/>
        <w:jc w:val="both"/>
        <w:rPr>
          <w:noProof/>
        </w:rPr>
      </w:pPr>
      <w:r w:rsidRPr="00785B52">
        <w:rPr>
          <w:noProof/>
        </w:rPr>
        <w:t xml:space="preserve">Fusai G, Meucci, A. (2008), </w:t>
      </w:r>
      <w:r w:rsidR="00392715" w:rsidRPr="00785B52">
        <w:rPr>
          <w:noProof/>
        </w:rPr>
        <w:t>“</w:t>
      </w:r>
      <w:r w:rsidRPr="00785B52">
        <w:rPr>
          <w:noProof/>
        </w:rPr>
        <w:t>Pricing Discretely Monitored Asian Options under Levy Processes</w:t>
      </w:r>
      <w:r w:rsidR="00392715" w:rsidRPr="00785B52">
        <w:rPr>
          <w:noProof/>
        </w:rPr>
        <w:t>”</w:t>
      </w:r>
      <w:r w:rsidRPr="00785B52">
        <w:rPr>
          <w:noProof/>
        </w:rPr>
        <w:t>, Journal of Banking and Finance, 32(10), p.2076-2088</w:t>
      </w:r>
    </w:p>
    <w:p w:rsidR="00B326F5" w:rsidRPr="00911323" w:rsidRDefault="00B326F5" w:rsidP="00B326F5">
      <w:pPr>
        <w:pStyle w:val="ListParagraph"/>
        <w:tabs>
          <w:tab w:val="left" w:pos="6475"/>
        </w:tabs>
        <w:ind w:left="0"/>
        <w:rPr>
          <w:rFonts w:eastAsiaTheme="minorEastAsia"/>
          <w:lang w:eastAsia="zh-CN"/>
        </w:rPr>
      </w:pPr>
    </w:p>
    <w:sectPr w:rsidR="00B326F5" w:rsidRPr="00911323" w:rsidSect="00BC3783">
      <w:pgSz w:w="12240" w:h="15840"/>
      <w:pgMar w:top="475" w:right="360"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RomNo9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E2492"/>
    <w:multiLevelType w:val="hybridMultilevel"/>
    <w:tmpl w:val="AD0656E0"/>
    <w:lvl w:ilvl="0" w:tplc="63A65A32">
      <w:start w:val="1"/>
      <w:numFmt w:val="decimal"/>
      <w:pStyle w:val="EndNoteBibliography"/>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330F04"/>
    <w:multiLevelType w:val="hybridMultilevel"/>
    <w:tmpl w:val="C3646366"/>
    <w:lvl w:ilvl="0" w:tplc="AFC0EF22">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A4A5F0C"/>
    <w:multiLevelType w:val="hybridMultilevel"/>
    <w:tmpl w:val="1F369A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E6"/>
    <w:rsid w:val="00015628"/>
    <w:rsid w:val="00041C03"/>
    <w:rsid w:val="00052747"/>
    <w:rsid w:val="00082AA7"/>
    <w:rsid w:val="00096251"/>
    <w:rsid w:val="000A7414"/>
    <w:rsid w:val="000B2AEE"/>
    <w:rsid w:val="001055DB"/>
    <w:rsid w:val="001061B7"/>
    <w:rsid w:val="00115534"/>
    <w:rsid w:val="0012232F"/>
    <w:rsid w:val="00142523"/>
    <w:rsid w:val="001474F5"/>
    <w:rsid w:val="00170B3A"/>
    <w:rsid w:val="00172485"/>
    <w:rsid w:val="0017369E"/>
    <w:rsid w:val="001770E3"/>
    <w:rsid w:val="00181D3A"/>
    <w:rsid w:val="001829FB"/>
    <w:rsid w:val="001A257B"/>
    <w:rsid w:val="001B28F8"/>
    <w:rsid w:val="00205000"/>
    <w:rsid w:val="00205EF5"/>
    <w:rsid w:val="002104F4"/>
    <w:rsid w:val="00210F9E"/>
    <w:rsid w:val="002212B4"/>
    <w:rsid w:val="00230B8C"/>
    <w:rsid w:val="00234C4F"/>
    <w:rsid w:val="0024147C"/>
    <w:rsid w:val="00244851"/>
    <w:rsid w:val="0025175F"/>
    <w:rsid w:val="0026170A"/>
    <w:rsid w:val="00264CCA"/>
    <w:rsid w:val="002822B8"/>
    <w:rsid w:val="0028346C"/>
    <w:rsid w:val="0028502B"/>
    <w:rsid w:val="0028585C"/>
    <w:rsid w:val="002A5468"/>
    <w:rsid w:val="002B4475"/>
    <w:rsid w:val="002D1FDE"/>
    <w:rsid w:val="002E7848"/>
    <w:rsid w:val="00305249"/>
    <w:rsid w:val="0030629F"/>
    <w:rsid w:val="00317EB5"/>
    <w:rsid w:val="0032533A"/>
    <w:rsid w:val="00337159"/>
    <w:rsid w:val="0035767B"/>
    <w:rsid w:val="003665F6"/>
    <w:rsid w:val="00372C28"/>
    <w:rsid w:val="003876FA"/>
    <w:rsid w:val="00392715"/>
    <w:rsid w:val="00393BB4"/>
    <w:rsid w:val="003A59F0"/>
    <w:rsid w:val="003B69D0"/>
    <w:rsid w:val="003D13A5"/>
    <w:rsid w:val="003D66AE"/>
    <w:rsid w:val="003E175B"/>
    <w:rsid w:val="003E2D1D"/>
    <w:rsid w:val="003F2A16"/>
    <w:rsid w:val="00400FC2"/>
    <w:rsid w:val="0040167D"/>
    <w:rsid w:val="0041649A"/>
    <w:rsid w:val="00434694"/>
    <w:rsid w:val="004364C8"/>
    <w:rsid w:val="00440CF6"/>
    <w:rsid w:val="00457391"/>
    <w:rsid w:val="004762DC"/>
    <w:rsid w:val="00476447"/>
    <w:rsid w:val="00477E98"/>
    <w:rsid w:val="004845EB"/>
    <w:rsid w:val="004961DD"/>
    <w:rsid w:val="004A6BDA"/>
    <w:rsid w:val="004B30B1"/>
    <w:rsid w:val="004B4C9A"/>
    <w:rsid w:val="004C2433"/>
    <w:rsid w:val="004C63B9"/>
    <w:rsid w:val="004D15FB"/>
    <w:rsid w:val="004F506F"/>
    <w:rsid w:val="00535CB1"/>
    <w:rsid w:val="0055302D"/>
    <w:rsid w:val="00574A21"/>
    <w:rsid w:val="0058085F"/>
    <w:rsid w:val="00596D4D"/>
    <w:rsid w:val="00597C72"/>
    <w:rsid w:val="005A037D"/>
    <w:rsid w:val="005C7D67"/>
    <w:rsid w:val="005D2C50"/>
    <w:rsid w:val="006031EB"/>
    <w:rsid w:val="00623620"/>
    <w:rsid w:val="00641704"/>
    <w:rsid w:val="00652E18"/>
    <w:rsid w:val="0066391B"/>
    <w:rsid w:val="006859A6"/>
    <w:rsid w:val="006907A4"/>
    <w:rsid w:val="0069166A"/>
    <w:rsid w:val="0069289D"/>
    <w:rsid w:val="006A13E5"/>
    <w:rsid w:val="006A1B2A"/>
    <w:rsid w:val="006A650C"/>
    <w:rsid w:val="006B1646"/>
    <w:rsid w:val="006B1EDC"/>
    <w:rsid w:val="006F0855"/>
    <w:rsid w:val="00703447"/>
    <w:rsid w:val="0071325D"/>
    <w:rsid w:val="00717473"/>
    <w:rsid w:val="007242BE"/>
    <w:rsid w:val="00733380"/>
    <w:rsid w:val="00752365"/>
    <w:rsid w:val="00776801"/>
    <w:rsid w:val="00782931"/>
    <w:rsid w:val="00785B52"/>
    <w:rsid w:val="00785CB0"/>
    <w:rsid w:val="00787435"/>
    <w:rsid w:val="007919ED"/>
    <w:rsid w:val="007E0DC0"/>
    <w:rsid w:val="007E6076"/>
    <w:rsid w:val="007F3F79"/>
    <w:rsid w:val="00801F01"/>
    <w:rsid w:val="008070B5"/>
    <w:rsid w:val="008135D2"/>
    <w:rsid w:val="008314FE"/>
    <w:rsid w:val="00844A14"/>
    <w:rsid w:val="00844D0D"/>
    <w:rsid w:val="00852EA0"/>
    <w:rsid w:val="00856289"/>
    <w:rsid w:val="0086227B"/>
    <w:rsid w:val="008656C3"/>
    <w:rsid w:val="00873830"/>
    <w:rsid w:val="008821E6"/>
    <w:rsid w:val="00885DD3"/>
    <w:rsid w:val="008A4AC7"/>
    <w:rsid w:val="008B0117"/>
    <w:rsid w:val="008B3802"/>
    <w:rsid w:val="008B575E"/>
    <w:rsid w:val="008D0898"/>
    <w:rsid w:val="008F3F34"/>
    <w:rsid w:val="0090085E"/>
    <w:rsid w:val="00900E1B"/>
    <w:rsid w:val="00906C27"/>
    <w:rsid w:val="009078D1"/>
    <w:rsid w:val="00911323"/>
    <w:rsid w:val="00915989"/>
    <w:rsid w:val="00916FAB"/>
    <w:rsid w:val="00922BAC"/>
    <w:rsid w:val="00940491"/>
    <w:rsid w:val="00942117"/>
    <w:rsid w:val="00952ED7"/>
    <w:rsid w:val="00955666"/>
    <w:rsid w:val="009766BB"/>
    <w:rsid w:val="0099175C"/>
    <w:rsid w:val="00991C71"/>
    <w:rsid w:val="009B617F"/>
    <w:rsid w:val="009D7F42"/>
    <w:rsid w:val="009E6F8C"/>
    <w:rsid w:val="009F268E"/>
    <w:rsid w:val="00A11030"/>
    <w:rsid w:val="00A1366F"/>
    <w:rsid w:val="00A43885"/>
    <w:rsid w:val="00A47C1F"/>
    <w:rsid w:val="00A500EB"/>
    <w:rsid w:val="00A85EC7"/>
    <w:rsid w:val="00A92F22"/>
    <w:rsid w:val="00AA35E6"/>
    <w:rsid w:val="00AC1B4A"/>
    <w:rsid w:val="00AC3A03"/>
    <w:rsid w:val="00AD0D87"/>
    <w:rsid w:val="00AD7C52"/>
    <w:rsid w:val="00B00AC8"/>
    <w:rsid w:val="00B055BB"/>
    <w:rsid w:val="00B326F5"/>
    <w:rsid w:val="00B36DDD"/>
    <w:rsid w:val="00B3706F"/>
    <w:rsid w:val="00B403A8"/>
    <w:rsid w:val="00B54197"/>
    <w:rsid w:val="00B557FD"/>
    <w:rsid w:val="00B57EC9"/>
    <w:rsid w:val="00B76A05"/>
    <w:rsid w:val="00B90932"/>
    <w:rsid w:val="00B9704E"/>
    <w:rsid w:val="00BC3775"/>
    <w:rsid w:val="00BC3783"/>
    <w:rsid w:val="00BF29D1"/>
    <w:rsid w:val="00C069F4"/>
    <w:rsid w:val="00C161B0"/>
    <w:rsid w:val="00C175CD"/>
    <w:rsid w:val="00C21C07"/>
    <w:rsid w:val="00C37ED2"/>
    <w:rsid w:val="00C46125"/>
    <w:rsid w:val="00C62E40"/>
    <w:rsid w:val="00C7156E"/>
    <w:rsid w:val="00C72F84"/>
    <w:rsid w:val="00C76B41"/>
    <w:rsid w:val="00C92707"/>
    <w:rsid w:val="00C9331F"/>
    <w:rsid w:val="00C955E7"/>
    <w:rsid w:val="00CC12F3"/>
    <w:rsid w:val="00CC374F"/>
    <w:rsid w:val="00CD5402"/>
    <w:rsid w:val="00CE4DDA"/>
    <w:rsid w:val="00D01D3B"/>
    <w:rsid w:val="00D01F96"/>
    <w:rsid w:val="00D03DB7"/>
    <w:rsid w:val="00D479AC"/>
    <w:rsid w:val="00D53F2B"/>
    <w:rsid w:val="00D62A54"/>
    <w:rsid w:val="00D63B29"/>
    <w:rsid w:val="00D64E11"/>
    <w:rsid w:val="00D732B2"/>
    <w:rsid w:val="00D747D9"/>
    <w:rsid w:val="00D76AB3"/>
    <w:rsid w:val="00D8304A"/>
    <w:rsid w:val="00D949A6"/>
    <w:rsid w:val="00DA4DE0"/>
    <w:rsid w:val="00DA6800"/>
    <w:rsid w:val="00DD5D35"/>
    <w:rsid w:val="00DE613C"/>
    <w:rsid w:val="00DE66AD"/>
    <w:rsid w:val="00E1752B"/>
    <w:rsid w:val="00E20527"/>
    <w:rsid w:val="00E3296E"/>
    <w:rsid w:val="00E55253"/>
    <w:rsid w:val="00E67BF6"/>
    <w:rsid w:val="00E7486E"/>
    <w:rsid w:val="00E848C0"/>
    <w:rsid w:val="00E84AFB"/>
    <w:rsid w:val="00E91832"/>
    <w:rsid w:val="00E932F4"/>
    <w:rsid w:val="00E947A7"/>
    <w:rsid w:val="00EC3FAA"/>
    <w:rsid w:val="00EE7B23"/>
    <w:rsid w:val="00EF64D8"/>
    <w:rsid w:val="00EF6B76"/>
    <w:rsid w:val="00F20E7A"/>
    <w:rsid w:val="00F215C6"/>
    <w:rsid w:val="00F21955"/>
    <w:rsid w:val="00F41A9C"/>
    <w:rsid w:val="00F4283A"/>
    <w:rsid w:val="00F610FE"/>
    <w:rsid w:val="00F62DD1"/>
    <w:rsid w:val="00F62E84"/>
    <w:rsid w:val="00FB3030"/>
    <w:rsid w:val="00FC1041"/>
    <w:rsid w:val="00FC1C19"/>
    <w:rsid w:val="00FC628B"/>
    <w:rsid w:val="00FF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C9A9E-5018-464C-9E1C-DCF745B0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26F5"/>
    <w:pPr>
      <w:keepNext/>
      <w:keepLines/>
      <w:widowControl w:val="0"/>
      <w:spacing w:before="240" w:after="0" w:line="240" w:lineRule="auto"/>
      <w:jc w:val="both"/>
      <w:outlineLvl w:val="0"/>
    </w:pPr>
    <w:rPr>
      <w:rFonts w:asciiTheme="majorHAnsi" w:eastAsiaTheme="majorEastAsia" w:hAnsiTheme="majorHAnsi" w:cstheme="majorBidi"/>
      <w:color w:val="2E74B5" w:themeColor="accent1" w:themeShade="BF"/>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83"/>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911323"/>
    <w:pPr>
      <w:ind w:left="720"/>
      <w:contextualSpacing/>
    </w:pPr>
  </w:style>
  <w:style w:type="character" w:customStyle="1" w:styleId="ListParagraphChar">
    <w:name w:val="List Paragraph Char"/>
    <w:basedOn w:val="DefaultParagraphFont"/>
    <w:link w:val="ListParagraph"/>
    <w:uiPriority w:val="34"/>
    <w:rsid w:val="00906C27"/>
  </w:style>
  <w:style w:type="character" w:customStyle="1" w:styleId="Heading1Char">
    <w:name w:val="Heading 1 Char"/>
    <w:basedOn w:val="DefaultParagraphFont"/>
    <w:link w:val="Heading1"/>
    <w:uiPriority w:val="9"/>
    <w:rsid w:val="00B326F5"/>
    <w:rPr>
      <w:rFonts w:asciiTheme="majorHAnsi" w:eastAsiaTheme="majorEastAsia" w:hAnsiTheme="majorHAnsi" w:cstheme="majorBidi"/>
      <w:color w:val="2E74B5" w:themeColor="accent1" w:themeShade="BF"/>
      <w:kern w:val="2"/>
      <w:sz w:val="32"/>
      <w:szCs w:val="32"/>
      <w:lang w:eastAsia="zh-CN"/>
    </w:rPr>
  </w:style>
  <w:style w:type="paragraph" w:customStyle="1" w:styleId="EndNoteBibliography">
    <w:name w:val="EndNote Bibliography"/>
    <w:basedOn w:val="Normal"/>
    <w:rsid w:val="00B326F5"/>
    <w:pPr>
      <w:widowControl w:val="0"/>
      <w:numPr>
        <w:numId w:val="2"/>
      </w:numPr>
      <w:spacing w:after="0" w:line="240" w:lineRule="auto"/>
      <w:jc w:val="both"/>
    </w:pPr>
    <w:rPr>
      <w:rFonts w:ascii="Calibri" w:eastAsiaTheme="minorEastAsia" w:hAnsi="Calibri" w:cstheme="minorBidi"/>
      <w:noProof/>
      <w:kern w:val="2"/>
      <w:sz w:val="20"/>
      <w:szCs w:val="22"/>
      <w:lang w:eastAsia="zh-CN"/>
    </w:rPr>
  </w:style>
  <w:style w:type="character" w:customStyle="1" w:styleId="apple-converted-space">
    <w:name w:val="apple-converted-space"/>
    <w:basedOn w:val="DefaultParagraphFont"/>
    <w:rsid w:val="006031EB"/>
  </w:style>
  <w:style w:type="character" w:styleId="Strong">
    <w:name w:val="Strong"/>
    <w:basedOn w:val="DefaultParagraphFont"/>
    <w:uiPriority w:val="22"/>
    <w:qFormat/>
    <w:rsid w:val="00AD7C52"/>
    <w:rPr>
      <w:b/>
      <w:bCs/>
    </w:rPr>
  </w:style>
  <w:style w:type="character" w:styleId="Emphasis">
    <w:name w:val="Emphasis"/>
    <w:basedOn w:val="DefaultParagraphFont"/>
    <w:uiPriority w:val="20"/>
    <w:qFormat/>
    <w:rsid w:val="00AD7C52"/>
    <w:rPr>
      <w:i/>
      <w:iCs/>
    </w:rPr>
  </w:style>
  <w:style w:type="character" w:customStyle="1" w:styleId="MTConvertedEquation">
    <w:name w:val="MTConvertedEquation"/>
    <w:basedOn w:val="DefaultParagraphFont"/>
    <w:rsid w:val="006B1EDC"/>
  </w:style>
  <w:style w:type="table" w:styleId="TableGrid">
    <w:name w:val="Table Grid"/>
    <w:basedOn w:val="TableNormal"/>
    <w:uiPriority w:val="39"/>
    <w:rsid w:val="00096251"/>
    <w:pPr>
      <w:spacing w:after="0" w:line="240" w:lineRule="auto"/>
    </w:pPr>
    <w:rPr>
      <w:rFonts w:asciiTheme="minorHAnsi" w:eastAsiaTheme="minorEastAsia"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72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24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5772">
      <w:bodyDiv w:val="1"/>
      <w:marLeft w:val="0"/>
      <w:marRight w:val="0"/>
      <w:marTop w:val="0"/>
      <w:marBottom w:val="0"/>
      <w:divBdr>
        <w:top w:val="none" w:sz="0" w:space="0" w:color="auto"/>
        <w:left w:val="none" w:sz="0" w:space="0" w:color="auto"/>
        <w:bottom w:val="none" w:sz="0" w:space="0" w:color="auto"/>
        <w:right w:val="none" w:sz="0" w:space="0" w:color="auto"/>
      </w:divBdr>
    </w:div>
    <w:div w:id="168757440">
      <w:bodyDiv w:val="1"/>
      <w:marLeft w:val="0"/>
      <w:marRight w:val="0"/>
      <w:marTop w:val="0"/>
      <w:marBottom w:val="0"/>
      <w:divBdr>
        <w:top w:val="none" w:sz="0" w:space="0" w:color="auto"/>
        <w:left w:val="none" w:sz="0" w:space="0" w:color="auto"/>
        <w:bottom w:val="none" w:sz="0" w:space="0" w:color="auto"/>
        <w:right w:val="none" w:sz="0" w:space="0" w:color="auto"/>
      </w:divBdr>
    </w:div>
    <w:div w:id="213856143">
      <w:bodyDiv w:val="1"/>
      <w:marLeft w:val="0"/>
      <w:marRight w:val="0"/>
      <w:marTop w:val="0"/>
      <w:marBottom w:val="0"/>
      <w:divBdr>
        <w:top w:val="none" w:sz="0" w:space="0" w:color="auto"/>
        <w:left w:val="none" w:sz="0" w:space="0" w:color="auto"/>
        <w:bottom w:val="none" w:sz="0" w:space="0" w:color="auto"/>
        <w:right w:val="none" w:sz="0" w:space="0" w:color="auto"/>
      </w:divBdr>
    </w:div>
    <w:div w:id="304970799">
      <w:bodyDiv w:val="1"/>
      <w:marLeft w:val="0"/>
      <w:marRight w:val="0"/>
      <w:marTop w:val="0"/>
      <w:marBottom w:val="0"/>
      <w:divBdr>
        <w:top w:val="none" w:sz="0" w:space="0" w:color="auto"/>
        <w:left w:val="none" w:sz="0" w:space="0" w:color="auto"/>
        <w:bottom w:val="none" w:sz="0" w:space="0" w:color="auto"/>
        <w:right w:val="none" w:sz="0" w:space="0" w:color="auto"/>
      </w:divBdr>
    </w:div>
    <w:div w:id="463548762">
      <w:bodyDiv w:val="1"/>
      <w:marLeft w:val="0"/>
      <w:marRight w:val="0"/>
      <w:marTop w:val="0"/>
      <w:marBottom w:val="0"/>
      <w:divBdr>
        <w:top w:val="none" w:sz="0" w:space="0" w:color="auto"/>
        <w:left w:val="none" w:sz="0" w:space="0" w:color="auto"/>
        <w:bottom w:val="none" w:sz="0" w:space="0" w:color="auto"/>
        <w:right w:val="none" w:sz="0" w:space="0" w:color="auto"/>
      </w:divBdr>
    </w:div>
    <w:div w:id="541479721">
      <w:bodyDiv w:val="1"/>
      <w:marLeft w:val="0"/>
      <w:marRight w:val="0"/>
      <w:marTop w:val="0"/>
      <w:marBottom w:val="0"/>
      <w:divBdr>
        <w:top w:val="none" w:sz="0" w:space="0" w:color="auto"/>
        <w:left w:val="none" w:sz="0" w:space="0" w:color="auto"/>
        <w:bottom w:val="none" w:sz="0" w:space="0" w:color="auto"/>
        <w:right w:val="none" w:sz="0" w:space="0" w:color="auto"/>
      </w:divBdr>
    </w:div>
    <w:div w:id="621688582">
      <w:bodyDiv w:val="1"/>
      <w:marLeft w:val="0"/>
      <w:marRight w:val="0"/>
      <w:marTop w:val="0"/>
      <w:marBottom w:val="0"/>
      <w:divBdr>
        <w:top w:val="none" w:sz="0" w:space="0" w:color="auto"/>
        <w:left w:val="none" w:sz="0" w:space="0" w:color="auto"/>
        <w:bottom w:val="none" w:sz="0" w:space="0" w:color="auto"/>
        <w:right w:val="none" w:sz="0" w:space="0" w:color="auto"/>
      </w:divBdr>
    </w:div>
    <w:div w:id="632566440">
      <w:bodyDiv w:val="1"/>
      <w:marLeft w:val="0"/>
      <w:marRight w:val="0"/>
      <w:marTop w:val="0"/>
      <w:marBottom w:val="0"/>
      <w:divBdr>
        <w:top w:val="none" w:sz="0" w:space="0" w:color="auto"/>
        <w:left w:val="none" w:sz="0" w:space="0" w:color="auto"/>
        <w:bottom w:val="none" w:sz="0" w:space="0" w:color="auto"/>
        <w:right w:val="none" w:sz="0" w:space="0" w:color="auto"/>
      </w:divBdr>
    </w:div>
    <w:div w:id="640429999">
      <w:bodyDiv w:val="1"/>
      <w:marLeft w:val="0"/>
      <w:marRight w:val="0"/>
      <w:marTop w:val="0"/>
      <w:marBottom w:val="0"/>
      <w:divBdr>
        <w:top w:val="none" w:sz="0" w:space="0" w:color="auto"/>
        <w:left w:val="none" w:sz="0" w:space="0" w:color="auto"/>
        <w:bottom w:val="none" w:sz="0" w:space="0" w:color="auto"/>
        <w:right w:val="none" w:sz="0" w:space="0" w:color="auto"/>
      </w:divBdr>
    </w:div>
    <w:div w:id="671492993">
      <w:bodyDiv w:val="1"/>
      <w:marLeft w:val="0"/>
      <w:marRight w:val="0"/>
      <w:marTop w:val="0"/>
      <w:marBottom w:val="0"/>
      <w:divBdr>
        <w:top w:val="none" w:sz="0" w:space="0" w:color="auto"/>
        <w:left w:val="none" w:sz="0" w:space="0" w:color="auto"/>
        <w:bottom w:val="none" w:sz="0" w:space="0" w:color="auto"/>
        <w:right w:val="none" w:sz="0" w:space="0" w:color="auto"/>
      </w:divBdr>
    </w:div>
    <w:div w:id="704405682">
      <w:bodyDiv w:val="1"/>
      <w:marLeft w:val="0"/>
      <w:marRight w:val="0"/>
      <w:marTop w:val="0"/>
      <w:marBottom w:val="0"/>
      <w:divBdr>
        <w:top w:val="none" w:sz="0" w:space="0" w:color="auto"/>
        <w:left w:val="none" w:sz="0" w:space="0" w:color="auto"/>
        <w:bottom w:val="none" w:sz="0" w:space="0" w:color="auto"/>
        <w:right w:val="none" w:sz="0" w:space="0" w:color="auto"/>
      </w:divBdr>
    </w:div>
    <w:div w:id="779377204">
      <w:bodyDiv w:val="1"/>
      <w:marLeft w:val="0"/>
      <w:marRight w:val="0"/>
      <w:marTop w:val="0"/>
      <w:marBottom w:val="0"/>
      <w:divBdr>
        <w:top w:val="none" w:sz="0" w:space="0" w:color="auto"/>
        <w:left w:val="none" w:sz="0" w:space="0" w:color="auto"/>
        <w:bottom w:val="none" w:sz="0" w:space="0" w:color="auto"/>
        <w:right w:val="none" w:sz="0" w:space="0" w:color="auto"/>
      </w:divBdr>
    </w:div>
    <w:div w:id="794831459">
      <w:bodyDiv w:val="1"/>
      <w:marLeft w:val="0"/>
      <w:marRight w:val="0"/>
      <w:marTop w:val="0"/>
      <w:marBottom w:val="0"/>
      <w:divBdr>
        <w:top w:val="none" w:sz="0" w:space="0" w:color="auto"/>
        <w:left w:val="none" w:sz="0" w:space="0" w:color="auto"/>
        <w:bottom w:val="none" w:sz="0" w:space="0" w:color="auto"/>
        <w:right w:val="none" w:sz="0" w:space="0" w:color="auto"/>
      </w:divBdr>
    </w:div>
    <w:div w:id="859899479">
      <w:bodyDiv w:val="1"/>
      <w:marLeft w:val="0"/>
      <w:marRight w:val="0"/>
      <w:marTop w:val="0"/>
      <w:marBottom w:val="0"/>
      <w:divBdr>
        <w:top w:val="none" w:sz="0" w:space="0" w:color="auto"/>
        <w:left w:val="none" w:sz="0" w:space="0" w:color="auto"/>
        <w:bottom w:val="none" w:sz="0" w:space="0" w:color="auto"/>
        <w:right w:val="none" w:sz="0" w:space="0" w:color="auto"/>
      </w:divBdr>
    </w:div>
    <w:div w:id="1079793893">
      <w:bodyDiv w:val="1"/>
      <w:marLeft w:val="0"/>
      <w:marRight w:val="0"/>
      <w:marTop w:val="0"/>
      <w:marBottom w:val="0"/>
      <w:divBdr>
        <w:top w:val="none" w:sz="0" w:space="0" w:color="auto"/>
        <w:left w:val="none" w:sz="0" w:space="0" w:color="auto"/>
        <w:bottom w:val="none" w:sz="0" w:space="0" w:color="auto"/>
        <w:right w:val="none" w:sz="0" w:space="0" w:color="auto"/>
      </w:divBdr>
    </w:div>
    <w:div w:id="1663655865">
      <w:bodyDiv w:val="1"/>
      <w:marLeft w:val="0"/>
      <w:marRight w:val="0"/>
      <w:marTop w:val="0"/>
      <w:marBottom w:val="0"/>
      <w:divBdr>
        <w:top w:val="none" w:sz="0" w:space="0" w:color="auto"/>
        <w:left w:val="none" w:sz="0" w:space="0" w:color="auto"/>
        <w:bottom w:val="none" w:sz="0" w:space="0" w:color="auto"/>
        <w:right w:val="none" w:sz="0" w:space="0" w:color="auto"/>
      </w:divBdr>
    </w:div>
    <w:div w:id="1787041358">
      <w:bodyDiv w:val="1"/>
      <w:marLeft w:val="0"/>
      <w:marRight w:val="0"/>
      <w:marTop w:val="0"/>
      <w:marBottom w:val="0"/>
      <w:divBdr>
        <w:top w:val="none" w:sz="0" w:space="0" w:color="auto"/>
        <w:left w:val="none" w:sz="0" w:space="0" w:color="auto"/>
        <w:bottom w:val="none" w:sz="0" w:space="0" w:color="auto"/>
        <w:right w:val="none" w:sz="0" w:space="0" w:color="auto"/>
      </w:divBdr>
    </w:div>
    <w:div w:id="2019499578">
      <w:bodyDiv w:val="1"/>
      <w:marLeft w:val="0"/>
      <w:marRight w:val="0"/>
      <w:marTop w:val="0"/>
      <w:marBottom w:val="0"/>
      <w:divBdr>
        <w:top w:val="none" w:sz="0" w:space="0" w:color="auto"/>
        <w:left w:val="none" w:sz="0" w:space="0" w:color="auto"/>
        <w:bottom w:val="none" w:sz="0" w:space="0" w:color="auto"/>
        <w:right w:val="none" w:sz="0" w:space="0" w:color="auto"/>
      </w:divBdr>
    </w:div>
    <w:div w:id="20823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20.bin"/><Relationship Id="rId50" Type="http://schemas.openxmlformats.org/officeDocument/2006/relationships/image" Target="media/image25.wmf"/><Relationship Id="rId55" Type="http://schemas.openxmlformats.org/officeDocument/2006/relationships/oleObject" Target="embeddings/oleObject24.bin"/><Relationship Id="rId63" Type="http://schemas.openxmlformats.org/officeDocument/2006/relationships/image" Target="media/image33.png"/><Relationship Id="rId68" Type="http://schemas.openxmlformats.org/officeDocument/2006/relationships/oleObject" Target="embeddings/oleObject27.bin"/><Relationship Id="rId76" Type="http://schemas.openxmlformats.org/officeDocument/2006/relationships/oleObject" Target="embeddings/oleObject31.bin"/><Relationship Id="rId84" Type="http://schemas.openxmlformats.org/officeDocument/2006/relationships/oleObject" Target="embeddings/oleObject35.bin"/><Relationship Id="rId89" Type="http://schemas.openxmlformats.org/officeDocument/2006/relationships/image" Target="media/image48.png"/><Relationship Id="rId7" Type="http://schemas.openxmlformats.org/officeDocument/2006/relationships/image" Target="media/image2.wmf"/><Relationship Id="rId71" Type="http://schemas.openxmlformats.org/officeDocument/2006/relationships/image" Target="media/image39.wmf"/><Relationship Id="rId92" Type="http://schemas.openxmlformats.org/officeDocument/2006/relationships/hyperlink" Target="http://en.wikipedia.org/wiki/Journal_of_Business" TargetMode="External"/><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9.wmf"/><Relationship Id="rId66" Type="http://schemas.openxmlformats.org/officeDocument/2006/relationships/image" Target="media/image36.png"/><Relationship Id="rId74" Type="http://schemas.openxmlformats.org/officeDocument/2006/relationships/oleObject" Target="embeddings/oleObject30.bin"/><Relationship Id="rId79" Type="http://schemas.openxmlformats.org/officeDocument/2006/relationships/image" Target="media/image43.wmf"/><Relationship Id="rId87" Type="http://schemas.openxmlformats.org/officeDocument/2006/relationships/image" Target="media/image47.wmf"/><Relationship Id="rId5" Type="http://schemas.openxmlformats.org/officeDocument/2006/relationships/image" Target="media/image1.wmf"/><Relationship Id="rId61" Type="http://schemas.openxmlformats.org/officeDocument/2006/relationships/image" Target="media/image31.png"/><Relationship Id="rId82" Type="http://schemas.openxmlformats.org/officeDocument/2006/relationships/oleObject" Target="embeddings/oleObject34.bin"/><Relationship Id="rId90" Type="http://schemas.openxmlformats.org/officeDocument/2006/relationships/image" Target="media/image49.png"/><Relationship Id="rId95"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4.png"/><Relationship Id="rId69" Type="http://schemas.openxmlformats.org/officeDocument/2006/relationships/image" Target="media/image38.wmf"/><Relationship Id="rId77" Type="http://schemas.openxmlformats.org/officeDocument/2006/relationships/image" Target="media/image42.wmf"/><Relationship Id="rId8" Type="http://schemas.openxmlformats.org/officeDocument/2006/relationships/oleObject" Target="embeddings/oleObject2.bin"/><Relationship Id="rId51" Type="http://schemas.openxmlformats.org/officeDocument/2006/relationships/oleObject" Target="embeddings/oleObject22.bin"/><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46.wmf"/><Relationship Id="rId93" Type="http://schemas.openxmlformats.org/officeDocument/2006/relationships/hyperlink" Target="http://www.math.nyu.edu/research/carrp/papers/pdf/VGEFRpub.pdf"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6.bin"/><Relationship Id="rId67" Type="http://schemas.openxmlformats.org/officeDocument/2006/relationships/image" Target="media/image37.wmf"/><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image" Target="media/image32.png"/><Relationship Id="rId70" Type="http://schemas.openxmlformats.org/officeDocument/2006/relationships/oleObject" Target="embeddings/oleObject28.bin"/><Relationship Id="rId75" Type="http://schemas.openxmlformats.org/officeDocument/2006/relationships/image" Target="media/image41.wmf"/><Relationship Id="rId83" Type="http://schemas.openxmlformats.org/officeDocument/2006/relationships/image" Target="media/image45.wmf"/><Relationship Id="rId88" Type="http://schemas.openxmlformats.org/officeDocument/2006/relationships/oleObject" Target="embeddings/oleObject37.bin"/><Relationship Id="rId91"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3.bin"/><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png"/><Relationship Id="rId65" Type="http://schemas.openxmlformats.org/officeDocument/2006/relationships/image" Target="media/image35.png"/><Relationship Id="rId73" Type="http://schemas.openxmlformats.org/officeDocument/2006/relationships/image" Target="media/image40.wmf"/><Relationship Id="rId78" Type="http://schemas.openxmlformats.org/officeDocument/2006/relationships/oleObject" Target="embeddings/oleObject32.bin"/><Relationship Id="rId81" Type="http://schemas.openxmlformats.org/officeDocument/2006/relationships/image" Target="media/image44.wmf"/><Relationship Id="rId86" Type="http://schemas.openxmlformats.org/officeDocument/2006/relationships/oleObject" Target="embeddings/oleObject36.bin"/><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10</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Arora</dc:creator>
  <cp:keywords/>
  <dc:description/>
  <cp:lastModifiedBy>Rohit Arora</cp:lastModifiedBy>
  <cp:revision>93</cp:revision>
  <dcterms:created xsi:type="dcterms:W3CDTF">2014-06-03T22:36:00Z</dcterms:created>
  <dcterms:modified xsi:type="dcterms:W3CDTF">2014-06-04T04:05:00Z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