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B2A4A"/>
          <w:sz w:val="76"/>
        </w:rPr>
        <w:t>RedLab_7</w:t>
      </w:r>
    </w:p>
    <w:p>
      <w:pPr>
        <w:jc w:val="center"/>
      </w:pPr>
      <w:r>
        <w:rPr>
          <w:color w:val="2F5DC7"/>
          <w:sz w:val="34"/>
        </w:rPr>
        <w:t>Federated Consortium Defense</w:t>
      </w:r>
    </w:p>
    <w:p>
      <w:pPr>
        <w:jc w:val="center"/>
      </w:pPr>
      <w:r>
        <w:rPr>
          <w:i/>
          <w:color w:val="5B6677"/>
          <w:sz w:val="24"/>
        </w:rPr>
        <w:t>Solution Walkthrough (short form)</w:t>
      </w:r>
    </w:p>
    <w:p/>
    <w:p/>
    <w:p>
      <w:pPr>
        <w:jc w:val="center"/>
      </w:pPr>
      <w:r>
        <w:rPr>
          <w:color w:val="5B6677"/>
          <w:sz w:val="21"/>
        </w:rPr>
        <w:t>Mastercard Innovation Challenge @ GFF 2026</w:t>
        <w:br/>
        <w:t>One entry in a multi-solution portfolio - see RedLab_1 (primary), RedLab_2 and RedLab_6 for the other entries</w:t>
      </w:r>
    </w:p>
    <w:p>
      <w:r>
        <w:br w:type="page"/>
      </w:r>
    </w:p>
    <w:p>
      <w:pPr>
        <w:pStyle w:val="Heading1"/>
      </w:pPr>
      <w:r>
        <w:rPr>
          <w:color w:val="1B2A4A"/>
        </w:rPr>
        <w:t>Summary</w:t>
      </w:r>
    </w:p>
    <w:p>
      <w:r>
        <w:rPr>
          <w:i w:val="0"/>
        </w:rPr>
        <w:t>RedLab_1's own taxonomy already states, in the detection hypotheses for two of its vectors, that mule-account layering and distributed BIN testing work BECAUSE any single issuer or acquirer sees only a fragment of the attack - the stated mitigation for one is literally 'network-level (not merchant-level) monitoring.' This solution tests that claim directly: partition the population across four synthetic institutions, and measure how much detection capability a privacy-preserving federated model recovers versus an unrealistic fully-centralized one, against the realistic status quo of institutions that never collaborate at all.</w:t>
      </w:r>
    </w:p>
    <w:p>
      <w:r>
        <w:rPr>
          <w:i w:val="0"/>
        </w:rPr>
        <w:t>Scoped deliberately small, same discipline as RedLab_6: Identify and Generate are reused wholesale from RedLab_1. The new work is entirely in Defend - institution partitioning, local-only models, one round of federated coefficient averaging, and a centralized-oracle upper bound, compared on the identical cross-institution test set. No adversarial loop, no web prototype - stated here as a scope decision, not an incomplete result.</w:t>
      </w:r>
    </w:p>
    <w:tbl>
      <w:tblPr>
        <w:tblStyle w:val="LightGrid-Accent1"/>
        <w:tblW w:type="auto" w:w="0"/>
        <w:jc w:val="left"/>
        <w:tblLook w:firstColumn="1" w:firstRow="1" w:lastColumn="0" w:lastRow="0" w:noHBand="0" w:noVBand="1" w:val="04A0"/>
      </w:tblPr>
      <w:tblGrid>
        <w:gridCol w:w="4873"/>
        <w:gridCol w:w="4873"/>
      </w:tblGrid>
      <w:tr>
        <w:tc>
          <w:tcPr>
            <w:tcW w:type="dxa" w:w="4252"/>
            <w:shd w:fill="1B2A4A"/>
          </w:tcPr>
          <w:p>
            <w:r>
              <w:rPr>
                <w:b/>
                <w:color w:val="FFFFFF"/>
              </w:rPr>
              <w:t>Metric</w:t>
            </w:r>
          </w:p>
        </w:tc>
        <w:tc>
          <w:tcPr>
            <w:tcW w:type="dxa" w:w="4819"/>
            <w:shd w:fill="1B2A4A"/>
          </w:tcPr>
          <w:p>
            <w:r>
              <w:rPr>
                <w:b/>
                <w:color w:val="FFFFFF"/>
              </w:rPr>
              <w:t>Value</w:t>
            </w:r>
          </w:p>
        </w:tc>
      </w:tr>
      <w:tr>
        <w:tc>
          <w:tcPr>
            <w:tcW w:type="dxa" w:w="4252"/>
          </w:tcPr>
          <w:p>
            <w:r>
              <w:rPr>
                <w:sz w:val="19"/>
              </w:rPr>
              <w:t>Synthetic institutions</w:t>
            </w:r>
          </w:p>
        </w:tc>
        <w:tc>
          <w:tcPr>
            <w:tcW w:type="dxa" w:w="4819"/>
          </w:tcPr>
          <w:p>
            <w:r>
              <w:rPr>
                <w:sz w:val="19"/>
              </w:rPr>
              <w:t>4 (issuer-side and acquirer-side, independently assigned)</w:t>
            </w:r>
          </w:p>
        </w:tc>
      </w:tr>
      <w:tr>
        <w:tc>
          <w:tcPr>
            <w:tcW w:type="dxa" w:w="4252"/>
          </w:tcPr>
          <w:p>
            <w:r>
              <w:rPr>
                <w:sz w:val="19"/>
              </w:rPr>
              <w:t>Cross-institution hero vectors</w:t>
            </w:r>
          </w:p>
        </w:tc>
        <w:tc>
          <w:tcPr>
            <w:tcW w:type="dxa" w:w="4819"/>
          </w:tcPr>
          <w:p>
            <w:r>
              <w:rPr>
                <w:sz w:val="19"/>
              </w:rPr>
              <w:t>PF-IND-005 (mule layering), PF-CT-001 (distributed BIN testing)</w:t>
            </w:r>
          </w:p>
        </w:tc>
      </w:tr>
      <w:tr>
        <w:tc>
          <w:tcPr>
            <w:tcW w:type="dxa" w:w="4252"/>
          </w:tcPr>
          <w:p>
            <w:r>
              <w:rPr>
                <w:sz w:val="19"/>
              </w:rPr>
              <w:t>PF-IND-005 spread</w:t>
            </w:r>
          </w:p>
        </w:tc>
        <w:tc>
          <w:tcPr>
            <w:tcW w:type="dxa" w:w="4819"/>
          </w:tcPr>
          <w:p>
            <w:r>
              <w:rPr>
                <w:sz w:val="19"/>
              </w:rPr>
              <w:t>4 of 4 issuers, 4 of 4 acquirers</w:t>
            </w:r>
          </w:p>
        </w:tc>
      </w:tr>
      <w:tr>
        <w:tc>
          <w:tcPr>
            <w:tcW w:type="dxa" w:w="4252"/>
          </w:tcPr>
          <w:p>
            <w:r>
              <w:rPr>
                <w:sz w:val="19"/>
              </w:rPr>
              <w:t>PF-CT-001 spread</w:t>
            </w:r>
          </w:p>
        </w:tc>
        <w:tc>
          <w:tcPr>
            <w:tcW w:type="dxa" w:w="4819"/>
          </w:tcPr>
          <w:p>
            <w:r>
              <w:rPr>
                <w:sz w:val="19"/>
              </w:rPr>
              <w:t>4 of 4 issuers, 4 of 4 acquirers</w:t>
            </w:r>
          </w:p>
        </w:tc>
      </w:tr>
      <w:tr>
        <w:tc>
          <w:tcPr>
            <w:tcW w:type="dxa" w:w="4252"/>
          </w:tcPr>
          <w:p>
            <w:r>
              <w:rPr>
                <w:sz w:val="19"/>
              </w:rPr>
              <w:t>Local-only recall @ 1% FPR</w:t>
            </w:r>
          </w:p>
        </w:tc>
        <w:tc>
          <w:tcPr>
            <w:tcW w:type="dxa" w:w="4819"/>
          </w:tcPr>
          <w:p>
            <w:r>
              <w:rPr>
                <w:sz w:val="19"/>
              </w:rPr>
              <w:t>94.3%</w:t>
            </w:r>
          </w:p>
        </w:tc>
      </w:tr>
      <w:tr>
        <w:tc>
          <w:tcPr>
            <w:tcW w:type="dxa" w:w="4252"/>
          </w:tcPr>
          <w:p>
            <w:r>
              <w:rPr>
                <w:sz w:val="19"/>
              </w:rPr>
              <w:t>Federated recall @ 1% FPR</w:t>
            </w:r>
          </w:p>
        </w:tc>
        <w:tc>
          <w:tcPr>
            <w:tcW w:type="dxa" w:w="4819"/>
          </w:tcPr>
          <w:p>
            <w:r>
              <w:rPr>
                <w:sz w:val="19"/>
              </w:rPr>
              <w:t>94.7%</w:t>
            </w:r>
          </w:p>
        </w:tc>
      </w:tr>
      <w:tr>
        <w:tc>
          <w:tcPr>
            <w:tcW w:type="dxa" w:w="4252"/>
          </w:tcPr>
          <w:p>
            <w:r>
              <w:rPr>
                <w:sz w:val="19"/>
              </w:rPr>
              <w:t>Centralized-oracle recall @ 1% FPR</w:t>
            </w:r>
          </w:p>
        </w:tc>
        <w:tc>
          <w:tcPr>
            <w:tcW w:type="dxa" w:w="4819"/>
          </w:tcPr>
          <w:p>
            <w:r>
              <w:rPr>
                <w:sz w:val="19"/>
              </w:rPr>
              <w:t>94.7%</w:t>
            </w:r>
          </w:p>
        </w:tc>
      </w:tr>
      <w:tr>
        <w:tc>
          <w:tcPr>
            <w:tcW w:type="dxa" w:w="4252"/>
          </w:tcPr>
          <w:p>
            <w:r>
              <w:rPr>
                <w:sz w:val="19"/>
              </w:rPr>
              <w:t>Federation recovers</w:t>
            </w:r>
          </w:p>
        </w:tc>
        <w:tc>
          <w:tcPr>
            <w:tcW w:type="dxa" w:w="4819"/>
          </w:tcPr>
          <w:p>
            <w:r>
              <w:rPr>
                <w:sz w:val="19"/>
              </w:rPr>
              <w:t>100% of the local-to-oracle gap</w:t>
            </w:r>
          </w:p>
        </w:tc>
      </w:tr>
    </w:tbl>
    <w:p/>
    <w:p>
      <w:pPr>
        <w:pStyle w:val="Heading1"/>
      </w:pPr>
      <w:r>
        <w:rPr>
          <w:color w:val="1B2A4A"/>
        </w:rPr>
        <w:t>1. What's reused vs. what's new</w:t>
      </w:r>
    </w:p>
    <w:p>
      <w:pPr>
        <w:pStyle w:val="ListBullet"/>
      </w:pPr>
      <w:r>
        <w:rPr>
          <w:b/>
        </w:rPr>
        <w:t xml:space="preserve">Reused.  </w:t>
      </w:r>
      <w:r>
        <w:t>taxonomy (42 vectors, unchanged), calibrated world simulator, attack injection, and the 30 causal features - copied from RedLab_1 without modification.</w:t>
      </w:r>
    </w:p>
    <w:p>
      <w:pPr>
        <w:pStyle w:val="ListBullet"/>
      </w:pPr>
      <w:r>
        <w:rPr>
          <w:b/>
        </w:rPr>
        <w:t xml:space="preserve">New.  </w:t>
      </w:r>
      <w:r>
        <w:t>institution partitioning (redlab/sim/institutions.py), the federation mechanics (redlab/defend/federated.py), and the local/federated/oracle comparison.</w:t>
      </w:r>
    </w:p>
    <w:p>
      <w:pPr>
        <w:pStyle w:val="Heading1"/>
      </w:pPr>
      <w:r>
        <w:rPr>
          <w:color w:val="1B2A4A"/>
        </w:rPr>
        <w:t>2. Institution partitioning</w:t>
      </w:r>
    </w:p>
    <w:p>
      <w:r>
        <w:rPr>
          <w:i w:val="0"/>
        </w:rPr>
        <w:t>Every cardholder is assigned an issuer, every merchant an acquirer, via independent deterministic hashes - no change to the world simulator itself, since fragmentation across institutions is a property of who owns which entity, not of how transactions are generated. Both hero vectors were verified to genuinely span all four institutions on both sides once partitioned, confirming the cross-institution blind spot the taxonomy describes is real in this simulated population, not just asserted.</w:t>
      </w:r>
    </w:p>
    <w:p>
      <w:pPr>
        <w:pStyle w:val="Heading1"/>
      </w:pPr>
      <w:r>
        <w:rPr>
          <w:color w:val="1B2A4A"/>
        </w:rPr>
        <w:t>3. Federation mechanics</w:t>
      </w:r>
    </w:p>
    <w:p>
      <w:r>
        <w:rPr>
          <w:i w:val="0"/>
        </w:rPr>
        <w:t>A linear (logistic regression) model, not a gradient-boosted one, is used deliberately: averaging coefficient vectors across institutions is FedAvg's actual, well-defined mechanic. There is no equivalent standard operation for averaging two ensembles of trees. Each institution trains locally to convergence; coefficients are averaged once, weighted by each institution's sample count - the simplest case of FedAvg (one communication round), stated as a simplification rather than the full multi-round protocol a production system would run. Only coefficients and an intercept cross the institutional boundary; the federated_average function's signature structurally cannot accept a raw training frame, which is the actual privacy property this solution claims - and is checked directly by an automated test, not just asserted in a docstring.</w:t>
      </w:r>
    </w:p>
    <w:p>
      <w:pPr>
        <w:pStyle w:val="Heading1"/>
      </w:pPr>
      <w:r>
        <w:rPr>
          <w:color w:val="1B2A4A"/>
        </w:rPr>
        <w:t>4. The headline result, and why the gap is small</w:t>
      </w:r>
    </w:p>
    <w:tbl>
      <w:tblPr>
        <w:tblStyle w:val="LightGrid-Accent1"/>
        <w:tblW w:type="auto" w:w="0"/>
        <w:jc w:val="left"/>
        <w:tblLook w:firstColumn="1" w:firstRow="1" w:lastColumn="0" w:lastRow="0" w:noHBand="0" w:noVBand="1" w:val="04A0"/>
      </w:tblPr>
      <w:tblGrid>
        <w:gridCol w:w="2436"/>
        <w:gridCol w:w="2436"/>
        <w:gridCol w:w="2436"/>
        <w:gridCol w:w="2436"/>
      </w:tblGrid>
      <w:tr>
        <w:tc>
          <w:tcPr>
            <w:tcW w:type="dxa" w:w="3685"/>
            <w:shd w:fill="1B2A4A"/>
          </w:tcPr>
          <w:p>
            <w:r>
              <w:rPr>
                <w:b/>
                <w:color w:val="FFFFFF"/>
              </w:rPr>
              <w:t>Model</w:t>
            </w:r>
          </w:p>
        </w:tc>
        <w:tc>
          <w:tcPr>
            <w:tcW w:type="dxa" w:w="1701"/>
            <w:shd w:fill="1B2A4A"/>
          </w:tcPr>
          <w:p>
            <w:r>
              <w:rPr>
                <w:b/>
                <w:color w:val="FFFFFF"/>
              </w:rPr>
              <w:t>ROC-AUC</w:t>
            </w:r>
          </w:p>
        </w:tc>
        <w:tc>
          <w:tcPr>
            <w:tcW w:type="dxa" w:w="1701"/>
            <w:shd w:fill="1B2A4A"/>
          </w:tcPr>
          <w:p>
            <w:r>
              <w:rPr>
                <w:b/>
                <w:color w:val="FFFFFF"/>
              </w:rPr>
              <w:t>PR-AUC</w:t>
            </w:r>
          </w:p>
        </w:tc>
        <w:tc>
          <w:tcPr>
            <w:tcW w:type="dxa" w:w="1984"/>
            <w:shd w:fill="1B2A4A"/>
          </w:tcPr>
          <w:p>
            <w:r>
              <w:rPr>
                <w:b/>
                <w:color w:val="FFFFFF"/>
              </w:rPr>
              <w:t>Recall @ 1% FPR</w:t>
            </w:r>
          </w:p>
        </w:tc>
      </w:tr>
      <w:tr>
        <w:tc>
          <w:tcPr>
            <w:tcW w:type="dxa" w:w="3685"/>
          </w:tcPr>
          <w:p>
            <w:r>
              <w:rPr>
                <w:sz w:val="19"/>
              </w:rPr>
              <w:t>Local-only (status quo)</w:t>
            </w:r>
          </w:p>
        </w:tc>
        <w:tc>
          <w:tcPr>
            <w:tcW w:type="dxa" w:w="1701"/>
          </w:tcPr>
          <w:p>
            <w:r>
              <w:rPr>
                <w:sz w:val="19"/>
              </w:rPr>
              <w:t>0.9978</w:t>
            </w:r>
          </w:p>
        </w:tc>
        <w:tc>
          <w:tcPr>
            <w:tcW w:type="dxa" w:w="1701"/>
          </w:tcPr>
          <w:p>
            <w:r>
              <w:rPr>
                <w:sz w:val="19"/>
              </w:rPr>
              <w:t>0.7864</w:t>
            </w:r>
          </w:p>
        </w:tc>
        <w:tc>
          <w:tcPr>
            <w:tcW w:type="dxa" w:w="1984"/>
          </w:tcPr>
          <w:p>
            <w:r>
              <w:rPr>
                <w:sz w:val="19"/>
              </w:rPr>
              <w:t>94.3%</w:t>
            </w:r>
          </w:p>
        </w:tc>
      </w:tr>
      <w:tr>
        <w:tc>
          <w:tcPr>
            <w:tcW w:type="dxa" w:w="3685"/>
          </w:tcPr>
          <w:p>
            <w:r>
              <w:rPr>
                <w:sz w:val="19"/>
              </w:rPr>
              <w:t>Federated</w:t>
            </w:r>
          </w:p>
        </w:tc>
        <w:tc>
          <w:tcPr>
            <w:tcW w:type="dxa" w:w="1701"/>
          </w:tcPr>
          <w:p>
            <w:r>
              <w:rPr>
                <w:sz w:val="19"/>
              </w:rPr>
              <w:t>0.9979</w:t>
            </w:r>
          </w:p>
        </w:tc>
        <w:tc>
          <w:tcPr>
            <w:tcW w:type="dxa" w:w="1701"/>
          </w:tcPr>
          <w:p>
            <w:r>
              <w:rPr>
                <w:sz w:val="19"/>
              </w:rPr>
              <w:t>0.7974</w:t>
            </w:r>
          </w:p>
        </w:tc>
        <w:tc>
          <w:tcPr>
            <w:tcW w:type="dxa" w:w="1984"/>
          </w:tcPr>
          <w:p>
            <w:r>
              <w:rPr>
                <w:sz w:val="19"/>
              </w:rPr>
              <w:t>94.7%</w:t>
            </w:r>
          </w:p>
        </w:tc>
      </w:tr>
      <w:tr>
        <w:tc>
          <w:tcPr>
            <w:tcW w:type="dxa" w:w="3685"/>
          </w:tcPr>
          <w:p>
            <w:r>
              <w:rPr>
                <w:sz w:val="19"/>
              </w:rPr>
              <w:t>Centralized oracle</w:t>
            </w:r>
          </w:p>
        </w:tc>
        <w:tc>
          <w:tcPr>
            <w:tcW w:type="dxa" w:w="1701"/>
          </w:tcPr>
          <w:p>
            <w:r>
              <w:rPr>
                <w:sz w:val="19"/>
              </w:rPr>
              <w:t>0.9977</w:t>
            </w:r>
          </w:p>
        </w:tc>
        <w:tc>
          <w:tcPr>
            <w:tcW w:type="dxa" w:w="1701"/>
          </w:tcPr>
          <w:p>
            <w:r>
              <w:rPr>
                <w:sz w:val="19"/>
              </w:rPr>
              <w:t>0.7866</w:t>
            </w:r>
          </w:p>
        </w:tc>
        <w:tc>
          <w:tcPr>
            <w:tcW w:type="dxa" w:w="1984"/>
          </w:tcPr>
          <w:p>
            <w:r>
              <w:rPr>
                <w:sz w:val="19"/>
              </w:rPr>
              <w:t>94.7%</w:t>
            </w:r>
          </w:p>
        </w:tc>
      </w:tr>
    </w:tbl>
    <w:p/>
    <w:p>
      <w:pPr>
        <w:ind w:left="227"/>
        <w:shd w:fill="EFF3FA"/>
      </w:pPr>
      <w:r>
        <w:rPr>
          <w:b/>
          <w:color w:val="2F5DC7"/>
        </w:rPr>
        <w:t xml:space="preserve">The finding, reported exactly as measured.  </w:t>
      </w:r>
      <w:r>
        <w:t>Federation recovers 100% of the gap between local-only and centralized - but that gap is small to begin with (local-only already reaches 94.3% recall). The reason is diagnosable, not mysterious: every one of the 30 causal features this solution inherited from RedLab_1 is scoped to a single user, merchant, or device (u_*, m_*, d_* prefixes, verified by direct inspection) - none of them require visibility across institutions to compute. A user's own transaction history is already fully available to their own issuer; a merchant's own history is already fully available to its own acquirer. Federation can only recover value that exists as a feature no single institution could compute alone - something like 'how many distinct institutions has this merchant been paid from in the last hour,' which this feature set does not contain. The real lesson is about feature design, not about whether federation works: a consortium defence earns its complexity only when the features it shares are the kind no single member could build alone.</w:t>
      </w:r>
    </w:p>
    <w:p>
      <w:pPr>
        <w:pStyle w:val="Heading1"/>
      </w:pPr>
      <w:r>
        <w:rPr>
          <w:color w:val="1B2A4A"/>
        </w:rPr>
        <w:t>5. Feasibility and limitations</w:t>
      </w:r>
    </w:p>
    <w:p>
      <w:pPr>
        <w:pStyle w:val="ListBullet"/>
      </w:pPr>
      <w:r>
        <w:rPr>
          <w:b/>
        </w:rPr>
        <w:t xml:space="preserve">Simplification, stated plainly.  </w:t>
      </w:r>
      <w:r>
        <w:t>single-round coefficient averaging is FedAvg's simplest case; a production deployment would run multiple rounds and typically differential-privacy-noised updates, neither implemented here.</w:t>
      </w:r>
    </w:p>
    <w:p>
      <w:pPr>
        <w:pStyle w:val="ListBullet"/>
      </w:pPr>
      <w:r>
        <w:rPr>
          <w:b/>
        </w:rPr>
        <w:t xml:space="preserve">What would change the result.  </w:t>
      </w:r>
      <w:r>
        <w:t>the diagnosis in Section 4 is directly actionable: a genuinely federation-dependent detector needs cross-institution-aware features computed via secure aggregation (e.g. a merchant's institution-fan-in count, shared without any single institution seeing another's raw transactions) - this is exactly the kind of feature real card-network fraud consortiums build, and is the natural next step, not attempted here in the interest of build time.</w:t>
      </w:r>
    </w:p>
    <w:p>
      <w:pPr>
        <w:pStyle w:val="ListBullet"/>
      </w:pPr>
      <w:r>
        <w:rPr>
          <w:b/>
        </w:rPr>
        <w:t xml:space="preserve">Out of scope, by design.  </w:t>
      </w:r>
      <w:r>
        <w:t>no adversarial loop, no web prototype - explicit scope decision for a fast build.</w:t>
      </w:r>
    </w:p>
    <w:p>
      <w:r>
        <w:br w:type="page"/>
      </w:r>
    </w:p>
    <w:p>
      <w:pPr>
        <w:pStyle w:val="Heading1"/>
      </w:pPr>
      <w:r>
        <w:rPr>
          <w:color w:val="1B2A4A"/>
        </w:rPr>
        <w:t>Appendix - Reproduction</w:t>
      </w:r>
    </w:p>
    <w:tbl>
      <w:tblPr>
        <w:tblStyle w:val="LightGrid-Accent1"/>
        <w:tblW w:type="auto" w:w="0"/>
        <w:jc w:val="left"/>
        <w:tblLook w:firstColumn="1" w:firstRow="1" w:lastColumn="0" w:lastRow="0" w:noHBand="0" w:noVBand="1" w:val="04A0"/>
      </w:tblPr>
      <w:tblGrid>
        <w:gridCol w:w="4873"/>
        <w:gridCol w:w="4873"/>
      </w:tblGrid>
      <w:tr>
        <w:tc>
          <w:tcPr>
            <w:tcW w:type="dxa" w:w="850"/>
            <w:shd w:fill="1B2A4A"/>
          </w:tcPr>
          <w:p>
            <w:r>
              <w:rPr>
                <w:b/>
                <w:color w:val="FFFFFF"/>
              </w:rPr>
              <w:t>Step</w:t>
            </w:r>
          </w:p>
        </w:tc>
        <w:tc>
          <w:tcPr>
            <w:tcW w:type="dxa" w:w="8220"/>
            <w:shd w:fill="1B2A4A"/>
          </w:tcPr>
          <w:p>
            <w:r>
              <w:rPr>
                <w:b/>
                <w:color w:val="FFFFFF"/>
              </w:rPr>
              <w:t>Command</w:t>
            </w:r>
          </w:p>
        </w:tc>
      </w:tr>
      <w:tr>
        <w:tc>
          <w:tcPr>
            <w:tcW w:type="dxa" w:w="850"/>
          </w:tcPr>
          <w:p>
            <w:r>
              <w:rPr>
                <w:sz w:val="19"/>
              </w:rPr>
              <w:t>1</w:t>
            </w:r>
          </w:p>
        </w:tc>
        <w:tc>
          <w:tcPr>
            <w:tcW w:type="dxa" w:w="8220"/>
          </w:tcPr>
          <w:p>
            <w:r>
              <w:rPr>
                <w:sz w:val="19"/>
              </w:rPr>
              <w:t>pip install -r requirements.txt</w:t>
            </w:r>
          </w:p>
        </w:tc>
      </w:tr>
      <w:tr>
        <w:tc>
          <w:tcPr>
            <w:tcW w:type="dxa" w:w="850"/>
          </w:tcPr>
          <w:p>
            <w:r>
              <w:rPr>
                <w:sz w:val="19"/>
              </w:rPr>
              <w:t>2</w:t>
            </w:r>
          </w:p>
        </w:tc>
        <w:tc>
          <w:tcPr>
            <w:tcW w:type="dxa" w:w="8220"/>
          </w:tcPr>
          <w:p>
            <w:r>
              <w:rPr>
                <w:sz w:val="19"/>
              </w:rPr>
              <w:t>python -m pytest tests/ -q</w:t>
            </w:r>
          </w:p>
        </w:tc>
      </w:tr>
      <w:tr>
        <w:tc>
          <w:tcPr>
            <w:tcW w:type="dxa" w:w="850"/>
          </w:tcPr>
          <w:p>
            <w:r>
              <w:rPr>
                <w:sz w:val="19"/>
              </w:rPr>
              <w:t>3</w:t>
            </w:r>
          </w:p>
        </w:tc>
        <w:tc>
          <w:tcPr>
            <w:tcW w:type="dxa" w:w="8220"/>
          </w:tcPr>
          <w:p>
            <w:r>
              <w:rPr>
                <w:sz w:val="19"/>
              </w:rPr>
              <w:t>python scripts/evaluate.py  (partitions, fits all three models, compares)</w:t>
            </w:r>
          </w:p>
        </w:tc>
      </w:tr>
      <w:tr>
        <w:tc>
          <w:tcPr>
            <w:tcW w:type="dxa" w:w="850"/>
          </w:tcPr>
          <w:p>
            <w:r>
              <w:rPr>
                <w:sz w:val="19"/>
              </w:rPr>
              <w:t>4</w:t>
            </w:r>
          </w:p>
        </w:tc>
        <w:tc>
          <w:tcPr>
            <w:tcW w:type="dxa" w:w="8220"/>
          </w:tcPr>
          <w:p>
            <w:r>
              <w:rPr>
                <w:sz w:val="19"/>
              </w:rPr>
              <w:t>python scripts/build_docx.py  (this document)</w:t>
            </w:r>
          </w:p>
        </w:tc>
      </w:tr>
    </w:tbl>
    <w:p/>
    <w:p>
      <w:r>
        <w:rPr>
          <w:i/>
        </w:rPr>
        <w:t>World, taxonomy, and features are generated the same way as RedLab_1 - see that solution's README for the underlying generation commands.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