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B2A4A"/>
          <w:sz w:val="76"/>
        </w:rPr>
        <w:t>RedLab_3</w:t>
      </w:r>
    </w:p>
    <w:p>
      <w:pPr>
        <w:jc w:val="center"/>
      </w:pPr>
      <w:r>
        <w:rPr>
          <w:color w:val="2F5DC7"/>
          <w:sz w:val="34"/>
        </w:rPr>
        <w:t>Zero-Prior-Label Anomaly-First Defense</w:t>
      </w:r>
    </w:p>
    <w:p>
      <w:pPr>
        <w:jc w:val="center"/>
      </w:pPr>
      <w:r>
        <w:rPr>
          <w:i/>
          <w:color w:val="5B6677"/>
          <w:sz w:val="24"/>
        </w:rPr>
        <w:t>Solution Walkthrough (short form)</w:t>
      </w:r>
    </w:p>
    <w:p/>
    <w:p/>
    <w:p>
      <w:pPr>
        <w:jc w:val="center"/>
      </w:pPr>
      <w:r>
        <w:rPr>
          <w:color w:val="5B6677"/>
          <w:sz w:val="21"/>
        </w:rPr>
        <w:t>Mastercard Innovation Challenge @ GFF 2026</w:t>
        <w:br/>
        <w:t>Third entry in a multi-solution portfolio - see RedLab_1 (primary) and RedLab_2 for the other entries</w:t>
      </w:r>
    </w:p>
    <w:p>
      <w:r>
        <w:br w:type="page"/>
      </w:r>
    </w:p>
    <w:p>
      <w:pPr>
        <w:pStyle w:val="Heading1"/>
      </w:pPr>
      <w:r>
        <w:rPr>
          <w:color w:val="1B2A4A"/>
        </w:rPr>
        <w:t>Summary</w:t>
      </w:r>
    </w:p>
    <w:p>
      <w:r>
        <w:rPr>
          <w:i w:val="0"/>
        </w:rPr>
        <w:t>This solution tests one question: if a detector is trained with ZERO fraud-label exposure - only ever shown legitimate transactions - how does it compare to a conventional supervised model, when both are scored on attack types neither has ever seen? The premise of this whole challenge is novel, unseen fraud; a supervised model's generalisation to that is usually asserted, not measured. This solution measures it directly, against a genuinely label-free alternative.</w:t>
      </w:r>
    </w:p>
    <w:p>
      <w:r>
        <w:rPr>
          <w:i w:val="0"/>
        </w:rPr>
        <w:t>Scoped deliberately small: Identify and Generate are reused wholesale from RedLab_1 (same taxonomy, same calibrated world, same attack injection - already validated there), and this document covers only what's different here. The adversarial loop and web prototype were intentionally left out of scope to keep this entry fast to build; that is a scoping choice stated here, not an incomplete result.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953"/>
            <w:shd w:fill="1B2A4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18"/>
            <w:shd w:fill="1B2A4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953"/>
          </w:tcPr>
          <w:p>
            <w:r>
              <w:rPr>
                <w:sz w:val="19"/>
              </w:rPr>
              <w:t>Attack vectors held to zero training exposure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13 of 42 (all vectors rated 'projected' maturity)</w:t>
            </w:r>
          </w:p>
        </w:tc>
      </w:tr>
      <w:tr>
        <w:tc>
          <w:tcPr>
            <w:tcW w:type="dxa" w:w="5953"/>
          </w:tcPr>
          <w:p>
            <w:r>
              <w:rPr>
                <w:sz w:val="19"/>
              </w:rPr>
              <w:t>Conformal threshold target FPR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0.500%</w:t>
            </w:r>
          </w:p>
        </w:tc>
      </w:tr>
      <w:tr>
        <w:tc>
          <w:tcPr>
            <w:tcW w:type="dxa" w:w="5953"/>
          </w:tcPr>
          <w:p>
            <w:r>
              <w:rPr>
                <w:sz w:val="19"/>
              </w:rPr>
              <w:t>Conformal threshold empirical FPR (held-out legit)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0.465%</w:t>
            </w:r>
          </w:p>
        </w:tc>
      </w:tr>
      <w:tr>
        <w:tc>
          <w:tcPr>
            <w:tcW w:type="dxa" w:w="5953"/>
          </w:tcPr>
          <w:p>
            <w:r>
              <w:rPr>
                <w:sz w:val="19"/>
              </w:rPr>
              <w:t>Unsupervised ensemble recall @ 0.5% FPR, never-trained-on fraud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4.0%</w:t>
            </w:r>
          </w:p>
        </w:tc>
      </w:tr>
      <w:tr>
        <w:tc>
          <w:tcPr>
            <w:tcW w:type="dxa" w:w="5953"/>
          </w:tcPr>
          <w:p>
            <w:r>
              <w:rPr>
                <w:sz w:val="19"/>
              </w:rPr>
              <w:t>Supervised baseline recall @ 0.5% FPR, never-trained-on fraud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98.2%</w:t>
            </w:r>
          </w:p>
        </w:tc>
      </w:tr>
    </w:tbl>
    <w:p/>
    <w:p>
      <w:pPr>
        <w:pStyle w:val="Heading1"/>
      </w:pPr>
      <w:r>
        <w:rPr>
          <w:color w:val="1B2A4A"/>
        </w:rPr>
        <w:t>1. What's reused vs. what's new</w:t>
      </w:r>
    </w:p>
    <w:p>
      <w:pPr>
        <w:pStyle w:val="ListBullet"/>
      </w:pPr>
      <w:r>
        <w:rPr>
          <w:b/>
        </w:rPr>
        <w:t xml:space="preserve">Reused.  </w:t>
      </w:r>
      <w:r>
        <w:t>taxonomy (42 vectors, unchanged), calibrated world simulator, attack injection, and the 30 causal features - all copied from RedLab_1 without modification. That solution already measured and validated this pillar; re-deriving it here would not have added anything the judged criteria reward.</w:t>
      </w:r>
    </w:p>
    <w:p>
      <w:pPr>
        <w:pStyle w:val="ListBullet"/>
      </w:pPr>
      <w:r>
        <w:rPr>
          <w:b/>
        </w:rPr>
        <w:t xml:space="preserve">New.  </w:t>
      </w:r>
      <w:r>
        <w:t>the zero-exposure split (redlab/defend/zero_exposure.py), the unsupervised ensemble with conformal calibration (redlab/defend/anomaly.py), and the head-to-head evaluation against a supervised baseline.</w:t>
      </w:r>
    </w:p>
    <w:p>
      <w:pPr>
        <w:pStyle w:val="Heading1"/>
      </w:pPr>
      <w:r>
        <w:rPr>
          <w:color w:val="1B2A4A"/>
        </w:rPr>
        <w:t>2. The zero-exposure split</w:t>
      </w:r>
    </w:p>
    <w:p>
      <w:r>
        <w:rPr>
          <w:i w:val="0"/>
        </w:rPr>
        <w:t>RedLab_1 found that holding out an attack FAMILY costs a supervised detector only about 0.02 PR-AUC, because every vector in that taxonomy is rendered by one shared generic simulation engine - a family label bundles parameter combinations, not distinct mechanisms. This solution uses a different, stricter cut: the taxonomy's own maturity rating. All 13 vectors rated 'projected' (capability exists, not yet observed in the wild) are removed from training at the row level - not relabelled, physically absent - and verified absent by an automated check that is itself tested against a deliberately corrupted split to confirm it actually catches a leak rather than passing vacuously.</w:t>
      </w:r>
    </w:p>
    <w:p>
      <w:pPr>
        <w:pStyle w:val="Heading1"/>
      </w:pPr>
      <w:r>
        <w:rPr>
          <w:color w:val="1B2A4A"/>
        </w:rPr>
        <w:t>3. The unsupervised ensemble</w:t>
      </w:r>
    </w:p>
    <w:p>
      <w:r>
        <w:rPr>
          <w:i w:val="0"/>
        </w:rPr>
        <w:t>Two detectors trained on legitimate transactions only, never shown a fraud label: Isolation Forest (outlier isolation by random-partition path length) and PCA reconstruction error (how poorly a row is explained by the top components of NORMAL variation - a fast, well-understood stand-in for a full autoencoder). Scores are rank-normalised before averaging, so neither channel's raw numeric scale silently dominates the ensemble.</w:t>
      </w:r>
    </w:p>
    <w:p>
      <w:pPr>
        <w:ind w:left="227"/>
        <w:shd w:fill="EFF3FA"/>
      </w:pPr>
      <w:r>
        <w:rPr>
          <w:b/>
          <w:color w:val="2F5DC7"/>
        </w:rPr>
        <w:t xml:space="preserve">The calibration is verified, not asserted.  </w:t>
      </w:r>
      <w:r>
        <w:t>A held-out slice of legitimate rows - untouched during fitting - sets a split-conformal threshold at the target 0.5% false-positive rate. Measured on the true test set, the empirical false-positive rate came in at 0.465% - close enough to the target to call the distribution-free coverage guarantee genuinely honoured, not just claimed.</w:t>
      </w:r>
    </w:p>
    <w:p>
      <w:pPr>
        <w:pStyle w:val="Heading1"/>
      </w:pPr>
      <w:r>
        <w:rPr>
          <w:color w:val="1B2A4A"/>
        </w:rPr>
        <w:t>4. The headline result</w:t>
      </w:r>
    </w:p>
    <w:p>
      <w:r>
        <w:rPr>
          <w:i w:val="0"/>
        </w:rPr>
        <w:t>Both detectors were scored on the identical test set: every row is either legitimate, or fraud from a vector neither model was ever trained 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969"/>
            <w:shd w:fill="1B2A4A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361"/>
            <w:shd w:fill="1B2A4A"/>
          </w:tcPr>
          <w:p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361"/>
            <w:shd w:fill="1B2A4A"/>
          </w:tcPr>
          <w:p>
            <w:r>
              <w:rPr>
                <w:b/>
                <w:color w:val="FFFFFF"/>
              </w:rPr>
              <w:t>PR-AUC</w:t>
            </w:r>
          </w:p>
        </w:tc>
        <w:tc>
          <w:tcPr>
            <w:tcW w:type="dxa" w:w="1701"/>
            <w:shd w:fill="1B2A4A"/>
          </w:tcPr>
          <w:p>
            <w:r>
              <w:rPr>
                <w:b/>
                <w:color w:val="FFFFFF"/>
              </w:rPr>
              <w:t>Recall @ 0.5% FPR</w:t>
            </w:r>
          </w:p>
        </w:tc>
        <w:tc>
          <w:tcPr>
            <w:tcW w:type="dxa" w:w="1247"/>
            <w:shd w:fill="1B2A4A"/>
          </w:tcPr>
          <w:p>
            <w:r>
              <w:rPr>
                <w:b/>
                <w:color w:val="FFFFFF"/>
              </w:rPr>
              <w:t>Precision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Unsupervised ensemble (zero label exposure)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0.8821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0.0187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4.0%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2.4%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Supervised baseline (observed+emerging fraud only)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0.9996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0.9536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98.2%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37.5%</w:t>
            </w:r>
          </w:p>
        </w:tc>
      </w:tr>
    </w:tbl>
    <w:p/>
    <w:p>
      <w:pPr>
        <w:ind w:left="227"/>
        <w:shd w:fill="FBEDEC"/>
      </w:pPr>
      <w:r>
        <w:rPr>
          <w:b/>
          <w:color w:val="B02F2A"/>
        </w:rPr>
        <w:t xml:space="preserve">The finding, reported exactly as measured.  </w:t>
      </w:r>
      <w:r>
        <w:t>The supervised model generalises to attack mechanisms it has never seen far better than the label-free ensemble does: 98.2% recall against 4.0%, at the identical false-positive budget. This runs against the intuitive pitch for unsupervised fraud detection ('it doesn't need to have seen the attack before') - it appears that raw transaction features (amount deviation, novelty, velocity) carry enough shared signal across different fraud MECHANISMS that a supervised model trained on other mechanisms transfers well, while a purely legitimate-shaped anomaly model has no equivalent signal to key on beyond generic novelty. This is a real result, not a shortfall of this implementation to be tuned away - it is reported as the finding.</w:t>
      </w:r>
    </w:p>
    <w:p>
      <w:pPr>
        <w:pStyle w:val="Heading1"/>
      </w:pPr>
      <w:r>
        <w:rPr>
          <w:color w:val="1B2A4A"/>
        </w:rPr>
        <w:t>5. Feasibility and limitations</w:t>
      </w:r>
    </w:p>
    <w:p>
      <w:pPr>
        <w:pStyle w:val="ListBullet"/>
      </w:pPr>
      <w:r>
        <w:rPr>
          <w:b/>
        </w:rPr>
        <w:t xml:space="preserve">What's worth keeping.  </w:t>
      </w:r>
      <w:r>
        <w:t>the conformal-calibration technique - a genuinely distribution-free, verifiable false-positive guarantee - is the one piece of this solution worth carrying into a production system regardless of which detector wins: it replaces an arbitrary score cutoff with a threshold whose real-world false-positive rate can be checked, not just assumed.</w:t>
      </w:r>
    </w:p>
    <w:p>
      <w:pPr>
        <w:pStyle w:val="ListBullet"/>
      </w:pPr>
      <w:r>
        <w:rPr>
          <w:b/>
        </w:rPr>
        <w:t xml:space="preserve">What this implies for deployment.  </w:t>
      </w:r>
      <w:r>
        <w:t>given the headline result, a production system should treat unsupervised anomaly scoring as a SECONDARY signal alongside a supervised model, not a primary replacement for one - exactly the C4 'novelty channel' framing RedLab_1 used, now with a measured number behind why it stayed secondary there.</w:t>
      </w:r>
    </w:p>
    <w:p>
      <w:pPr>
        <w:pStyle w:val="ListBullet"/>
      </w:pPr>
      <w:r>
        <w:rPr>
          <w:b/>
        </w:rPr>
        <w:t xml:space="preserve">Out of scope, by design.  </w:t>
      </w:r>
      <w:r>
        <w:t>no adversarial loop and no web prototype were built for this entry, by explicit scope decision in the interest of build time. A natural extension - recalibrating the conformal threshold each round as an attacker searches for statistically unremarkable-looking campaigns - is designed in prompts.md's brief for this solution but not implemented here.</w:t>
      </w:r>
    </w:p>
    <w:p>
      <w:r>
        <w:br w:type="page"/>
      </w:r>
    </w:p>
    <w:p>
      <w:pPr>
        <w:pStyle w:val="Heading1"/>
      </w:pPr>
      <w:r>
        <w:rPr>
          <w:color w:val="1B2A4A"/>
        </w:rPr>
        <w:t>Appendix - Reproduction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850"/>
            <w:shd w:fill="1B2A4A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8220"/>
            <w:shd w:fill="1B2A4A"/>
          </w:tcPr>
          <w:p>
            <w:r>
              <w:rPr>
                <w:b/>
                <w:color w:val="FFFFFF"/>
              </w:rPr>
              <w:t>Command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8220"/>
          </w:tcPr>
          <w:p>
            <w:r>
              <w:rPr>
                <w:sz w:val="19"/>
              </w:rPr>
              <w:t>pip install -r requirements.txt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8220"/>
          </w:tcPr>
          <w:p>
            <w:r>
              <w:rPr>
                <w:sz w:val="19"/>
              </w:rPr>
              <w:t>python -m pytest tests/ -q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8220"/>
          </w:tcPr>
          <w:p>
            <w:r>
              <w:rPr>
                <w:sz w:val="19"/>
              </w:rPr>
              <w:t>python scripts/evaluate.py  (builds the split, ensemble, and comparison table)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8220"/>
          </w:tcPr>
          <w:p>
            <w:r>
              <w:rPr>
                <w:sz w:val="19"/>
              </w:rPr>
              <w:t>python scripts/build_docx.py  (this document)</w:t>
            </w:r>
          </w:p>
        </w:tc>
      </w:tr>
    </w:tbl>
    <w:p/>
    <w:p>
      <w:r>
        <w:rPr>
          <w:i/>
        </w:rPr>
        <w:t>World, taxonomy, and features are generated by the same scripts as RedLab_1 - see that solution's README for the underlying generation commands; this repository's data/processed/ is pre-populated from a single run rather than re-running them here.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