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2E4A62"/>
          <w:sz w:val="30"/>
          <w:szCs w:val="30"/>
        </w:rPr>
        <w:t xml:space="preserve">ISP GROUP LLC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International Trading &amp; Supply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16395 Biscayne Blvd, Aventura, FL 33160, USA  ·  estimating@ispgroupgc.com</w:t>
      </w:r>
    </w:p>
    <w:p>
      <w:pPr>
        <w:pBdr>
          <w:bottom w:val="single" w:color="CCCCCC" w:sz="6" w:space="1"/>
        </w:pBdr>
        <w:spacing w:after="200"/>
      </w:pP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Date: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[DD Month 2026]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To: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[Buyer / Company]</w:t>
      </w:r>
      <w:r>
        <w:rPr>
          <w:rFonts w:ascii="Calibri" w:cs="Calibri" w:eastAsia="Calibri" w:hAnsi="Calibri"/>
          <w:sz w:val="22"/>
          <w:szCs w:val="22"/>
        </w:rPr>
        <w:t xml:space="preserve">   Attn: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[Name, title / Procurement]</w:t>
      </w:r>
    </w:p>
    <w:p>
      <w:pPr>
        <w:spacing w:after="1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OFFER — Ferrochrome (HC &amp; LC FeCr),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[tonnage] MT + [monthly] MT/month, [FOB/CIF] [port]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Dear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[Name]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ISP Group LLC is pleased to offer ferrochrome — High Carbon (HCFeCr) and Low Carbon (LCFeCr) — to the grades below. Priced on chromium content (US$/lb Cr), grade to buyer requirement:</w:t>
      </w:r>
    </w:p>
    <w:tbl>
      <w:tblPr>
        <w:tblW w:type="dxa" w:w="7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900"/>
        <w:gridCol w:w="1000"/>
        <w:gridCol w:w="900"/>
        <w:gridCol w:w="900"/>
        <w:gridCol w:w="900"/>
        <w:gridCol w:w="1300"/>
      </w:tblGrid>
      <w:tr>
        <w:tc>
          <w:tcPr>
            <w:tcW w:type="dxa" w:w="145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Product</w:t>
            </w:r>
          </w:p>
        </w:tc>
        <w:tc>
          <w:tcPr>
            <w:tcW w:type="dxa" w:w="9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 %</w:t>
            </w:r>
          </w:p>
        </w:tc>
        <w:tc>
          <w:tcPr>
            <w:tcW w:type="dxa" w:w="10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 %</w:t>
            </w:r>
          </w:p>
        </w:tc>
        <w:tc>
          <w:tcPr>
            <w:tcW w:type="dxa" w:w="9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 %</w:t>
            </w:r>
          </w:p>
        </w:tc>
        <w:tc>
          <w:tcPr>
            <w:tcW w:type="dxa" w:w="9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 %</w:t>
            </w:r>
          </w:p>
        </w:tc>
        <w:tc>
          <w:tcPr>
            <w:tcW w:type="dxa" w:w="9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 %</w:t>
            </w:r>
          </w:p>
        </w:tc>
        <w:tc>
          <w:tcPr>
            <w:tcW w:type="dxa" w:w="13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Size mm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65-67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1.5 max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6-8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10-100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64-65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1-2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6-8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10-100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62-64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6-8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10-100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60-62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2-4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6-8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10-100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55-60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max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50-55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max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10-50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10-50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10-50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Commercial outline: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Quantity. </w:t>
      </w:r>
      <w:r>
        <w:rPr>
          <w:rFonts w:ascii="Calibri" w:cs="Calibri" w:eastAsia="Calibri" w:hAnsi="Calibri"/>
          <w:sz w:val="22"/>
          <w:szCs w:val="22"/>
        </w:rPr>
        <w:t xml:space="preserve">[spot tonnage] MT available; monthly capacity up to [monthly] MT. Grade/size to buyer specification.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Origin &amp; packing. </w:t>
      </w:r>
      <w:r>
        <w:rPr>
          <w:rFonts w:ascii="Calibri" w:cs="Calibri" w:eastAsia="Calibri" w:hAnsi="Calibri"/>
          <w:sz w:val="22"/>
          <w:szCs w:val="22"/>
        </w:rPr>
        <w:t xml:space="preserve">Origin [country]. Packing: [bulk / 1 MT big bags / steel drums]. Loading port [port].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Delivery. </w:t>
      </w:r>
      <w:r>
        <w:rPr>
          <w:rFonts w:ascii="Calibri" w:cs="Calibri" w:eastAsia="Calibri" w:hAnsi="Calibri"/>
          <w:sz w:val="22"/>
          <w:szCs w:val="22"/>
        </w:rPr>
        <w:t xml:space="preserve">Incoterms 2020 — [FOB / CIF / CFR] [named port]; loading window [month/quarter].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Inspection. </w:t>
      </w:r>
      <w:r>
        <w:rPr>
          <w:rFonts w:ascii="Calibri" w:cs="Calibri" w:eastAsia="Calibri" w:hAnsi="Calibri"/>
          <w:sz w:val="22"/>
          <w:szCs w:val="22"/>
        </w:rPr>
        <w:t xml:space="preserve">Quality and weight determined at loadport by SGS / CIQ (or mutually agreed inspector); certificate of analysis and origin provided.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Payment. </w:t>
      </w:r>
      <w:r>
        <w:rPr>
          <w:rFonts w:ascii="Calibri" w:cs="Calibri" w:eastAsia="Calibri" w:hAnsi="Calibri"/>
          <w:sz w:val="22"/>
          <w:szCs w:val="22"/>
        </w:rPr>
        <w:t xml:space="preserve">Irrevocable LC at sight or [terms to agree]; we work against documentary settlement and do not request advance payment to personal accounts.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Price. </w:t>
      </w:r>
      <w:r>
        <w:rPr>
          <w:rFonts w:ascii="Calibri" w:cs="Calibri" w:eastAsia="Calibri" w:hAnsi="Calibri"/>
          <w:sz w:val="22"/>
          <w:szCs w:val="22"/>
        </w:rPr>
        <w:t xml:space="preserve">Firm price on request, indexed to prevailing market (e.g. European benchmark US$/lb Cr or CIF China charge-chrome). Confirm destination port and monthly volume and we will issue a firm price and proforma within [24–48] hours.</w:t>
      </w:r>
    </w:p>
    <w:p>
      <w:pPr>
        <w:spacing w:before="120"/>
      </w:pPr>
      <w:r>
        <w:rPr>
          <w:rFonts w:ascii="Calibri" w:cs="Calibri" w:eastAsia="Calibri" w:hAnsi="Calibri"/>
          <w:sz w:val="22"/>
          <w:szCs w:val="22"/>
        </w:rPr>
        <w:t xml:space="preserve">We can provide the latest SGS assay, samples on request, and company references under NCND. We are a reliable, repeat supplier and are ready to build a long-term offtake.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Please advise your target destination, monthly requirement and preferred Incoterms, and reply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estimating@ispgroupgc.com</w:t>
      </w:r>
      <w:r>
        <w:rPr>
          <w:rFonts w:ascii="Calibri" w:cs="Calibri" w:eastAsia="Calibri" w:hAnsi="Calibri"/>
          <w:sz w:val="22"/>
          <w:szCs w:val="22"/>
        </w:rPr>
        <w:t xml:space="preserve">. Thank you — we look forward to working with you.</w:t>
      </w:r>
    </w:p>
    <w:p>
      <w:pPr>
        <w:spacing w:after="220" w:before="18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Trading Desk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ISP Group LLC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estimating@ispgroupgc.com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 Group LLC</dc:creator>
  <cp:lastModifiedBy>Un-named</cp:lastModifiedBy>
  <cp:revision>1</cp:revision>
  <dcterms:created xsi:type="dcterms:W3CDTF">2026-08-21T13:33:57.382Z</dcterms:created>
  <dcterms:modified xsi:type="dcterms:W3CDTF">2026-08-21T13:33:57.382Z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