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2E4A62"/>
          <w:sz w:val="32"/>
          <w:szCs w:val="32"/>
        </w:rPr>
        <w:t xml:space="preserve">ISP GROUP LLC</w:t>
      </w:r>
    </w:p>
    <w:p>
      <w:pPr>
        <w:spacing w:after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Painting · Drywall · Flooring · Post-Construction Cleaning — Subcontractor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16395 Biscayne Blvd, Aventura, FL 33160  ·  info@ispgroupgc.com  ·  estimating@ispgroupgc.com</w:t>
      </w:r>
    </w:p>
    <w:p>
      <w:pPr>
        <w:pBdr>
          <w:bottom w:val="single" w:color="CCCCCC" w:sz="6" w:space="1"/>
        </w:pBdr>
        <w:spacing w:after="16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Date: </w:t>
      </w:r>
      <w:r>
        <w:rPr>
          <w:rFonts w:ascii="Calibri" w:cs="Calibri" w:eastAsia="Calibri" w:hAnsi="Calibri"/>
          <w:b/>
          <w:bCs/>
          <w:color w:val="B23A2E"/>
          <w:sz w:val="22"/>
          <w:szCs w:val="22"/>
        </w:rPr>
        <w:t xml:space="preserve">August 27, 2026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Persons Services Corp.</w:t>
      </w:r>
      <w:r>
        <w:rPr>
          <w:rFonts w:ascii="Calibri" w:cs="Calibri" w:eastAsia="Calibri" w:hAnsi="Calibri"/>
          <w:sz w:val="22"/>
          <w:szCs w:val="22"/>
        </w:rPr>
        <w:t xml:space="preserve">  —  Attn: Jermaine Goodman (jgoodman@personsservices.com)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1835 South Perimeter Road, Fort Lauderdale, FL 33309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Project: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Lincoln Road District Enhancement Project</w:t>
      </w:r>
      <w:r>
        <w:rPr>
          <w:rFonts w:ascii="Calibri" w:cs="Calibri" w:eastAsia="Calibri" w:hAnsi="Calibri"/>
          <w:sz w:val="22"/>
          <w:szCs w:val="22"/>
        </w:rPr>
        <w:t xml:space="preserve"> — Lincoln Road, Miami Beach, FL 33139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Bid Due: </w:t>
      </w:r>
      <w:r>
        <w:rPr>
          <w:rFonts w:ascii="Calibri" w:cs="Calibri" w:eastAsia="Calibri" w:hAnsi="Calibri"/>
          <w:b/>
          <w:bCs/>
          <w:color w:val="B23A2E"/>
          <w:sz w:val="22"/>
          <w:szCs w:val="22"/>
        </w:rPr>
        <w:t xml:space="preserve">September 1, 2026</w:t>
      </w:r>
      <w:r>
        <w:rPr>
          <w:rFonts w:ascii="Calibri" w:cs="Calibri" w:eastAsia="Calibri" w:hAnsi="Calibri"/>
          <w:sz w:val="22"/>
          <w:szCs w:val="22"/>
        </w:rPr>
        <w:t xml:space="preserve">   |   Scopes: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Div. 9 Painting  &amp;  Div. 9 Mosaic Tile Flooring</w:t>
      </w:r>
    </w:p>
    <w:p>
      <w:pPr>
        <w:pBdr>
          <w:bottom w:val="single" w:color="CCCCCC" w:sz="6" w:space="1"/>
        </w:pBdr>
        <w:spacing w:after="16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Dear Mr. Goodman,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Thank you for the invitation to bid on the Lincoln Road District Enhancement Project. ISP Group LLC is pleased to submit its proposal for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Division 9 Painting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Division 9 Mosaic Tile Flooring</w:t>
      </w:r>
      <w:r>
        <w:rPr>
          <w:rFonts w:ascii="Calibri" w:cs="Calibri" w:eastAsia="Calibri" w:hAnsi="Calibri"/>
          <w:sz w:val="22"/>
          <w:szCs w:val="22"/>
        </w:rPr>
        <w:t xml:space="preserve"> scopes. We are a Florida-based finishing subcontractor and self-perform both trades. The signed Scope of Work Confirmation for each division is included below and will accompany our BuildingConnected submission.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 carry General Liability insurance and will name Persons Services Corp. as additional insured; a Certificate of Insurance and W-9 are available on request. We are prepared to meet the project schedule and coordinate with your superintendent.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4A62"/>
          <w:sz w:val="26"/>
          <w:szCs w:val="26"/>
        </w:rPr>
        <w:t xml:space="preserve">Scope of Work Confirmation — Div. 9 Painting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ISP Group LLC has reviewed the Division 9 Painting scope, drawings, specifications, and all issued addenda for the Lincoln Road District Enhancement Project,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confirms it will furnish all labor, material, equipment, surface preparation, priming, and finish coats</w:t>
      </w:r>
      <w:r>
        <w:rPr>
          <w:rFonts w:ascii="Calibri" w:cs="Calibri" w:eastAsia="Calibri" w:hAnsi="Calibri"/>
          <w:sz w:val="22"/>
          <w:szCs w:val="22"/>
        </w:rPr>
        <w:t xml:space="preserve"> required to complete the painting scope in accordance with the contract documents, including: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Surface preparation (cleaning, patching, sanding, masking, protection of adjacent surfaces).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Primer and finish coating systems per the specified schedule and manufacturer (e.g., Sherwin-Williams / PPG or approved equal).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Exterior/interior coatings as shown, including touch-up and final punch-list.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Daily clean-up and removal of painting-related debris.</w:t>
      </w:r>
    </w:p>
    <w:p>
      <w:pPr>
        <w:spacing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Clarifications / Exclusions: </w:t>
      </w:r>
      <w:r>
        <w:rPr>
          <w:rFonts w:ascii="Calibri" w:cs="Calibri" w:eastAsia="Calibri" w:hAnsi="Calibri"/>
          <w:sz w:val="22"/>
          <w:szCs w:val="22"/>
        </w:rPr>
        <w:t xml:space="preserve">Price excludes bonds (unless requested as a separate line), permit fees, and hazardous-material abatement. Quantities are as shown on plans; unit prices below govern for adds/deducts.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4A62"/>
          <w:sz w:val="26"/>
          <w:szCs w:val="26"/>
        </w:rPr>
        <w:t xml:space="preserve">Pricing Worksheet — Painting (budgetary; unit prices include our margin)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Заполнить метраж из чертежей → умножить на юнит-прайс → получить лямп-сум.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000"/>
        <w:gridCol w:w="1300"/>
        <w:gridCol w:w="1800"/>
        <w:gridCol w:w="1600"/>
      </w:tblGrid>
      <w:tr>
        <w:tc>
          <w:tcPr>
            <w:tcW w:type="dxa" w:w="3400"/>
            <w:shd w:fill="EDF1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000"/>
            <w:shd w:fill="EDF1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1300"/>
            <w:shd w:fill="EDF1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 price</w:t>
            </w:r>
          </w:p>
        </w:tc>
        <w:tc>
          <w:tcPr>
            <w:tcW w:type="dxa" w:w="1800"/>
            <w:shd w:fill="EDF1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Qty (из чертежей)</w:t>
            </w:r>
          </w:p>
        </w:tc>
        <w:tc>
          <w:tcPr>
            <w:tcW w:type="dxa" w:w="1600"/>
            <w:shd w:fill="EDF1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Exterior/interior painting (walls, ceilings, structures)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SF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$4.50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 SF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$__________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High/prep areas, railings, specialty coatings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SF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$6.00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 SF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$__________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Mobilization / minimum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LS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$1,500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$1,500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PAINTING TOTAL →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$__________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2E4A62"/>
          <w:sz w:val="26"/>
          <w:szCs w:val="26"/>
        </w:rPr>
        <w:t xml:space="preserve">Scope of Work Confirmation — Div. 9 Mosaic Tile Flooring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ISP Group LLC has reviewed the Division 9 Tile / Mosaic Flooring scope, drawings, specifications, and all issued addenda,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confirms it will furnish all labor, material, setting materials, and equipment</w:t>
      </w:r>
      <w:r>
        <w:rPr>
          <w:rFonts w:ascii="Calibri" w:cs="Calibri" w:eastAsia="Calibri" w:hAnsi="Calibri"/>
          <w:sz w:val="22"/>
          <w:szCs w:val="22"/>
        </w:rPr>
        <w:t xml:space="preserve"> required to complete the mosaic tile flooring scope in accordance with the contract documents, including: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Substrate preparation, crack-isolation / waterproof membrane, and mortar bed as specified.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Furnish and install mosaic tile per pattern, layout, and finish schedule.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Grouting, sealing, movement joints, transitions, and thresholds.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Protection of finished floor and final cleaning of tiled areas.</w:t>
      </w:r>
    </w:p>
    <w:p>
      <w:pPr>
        <w:spacing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Clarifications / Exclusions: </w:t>
      </w:r>
      <w:r>
        <w:rPr>
          <w:rFonts w:ascii="Calibri" w:cs="Calibri" w:eastAsia="Calibri" w:hAnsi="Calibri"/>
          <w:sz w:val="22"/>
          <w:szCs w:val="22"/>
        </w:rPr>
        <w:t xml:space="preserve">Tile material allowance to be confirmed against spec; premium/imported mosaic may adjust unit price. Excludes bonds (separate line), permit fees, and structural slab work.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4A62"/>
          <w:sz w:val="26"/>
          <w:szCs w:val="26"/>
        </w:rPr>
        <w:t xml:space="preserve">Pricing Worksheet — Mosaic Tile Flooring (budgetary; unit prices include our margin)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000"/>
        <w:gridCol w:w="1300"/>
        <w:gridCol w:w="1800"/>
        <w:gridCol w:w="1600"/>
      </w:tblGrid>
      <w:tr>
        <w:tc>
          <w:tcPr>
            <w:tcW w:type="dxa" w:w="3400"/>
            <w:shd w:fill="EDF1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000"/>
            <w:shd w:fill="EDF1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1300"/>
            <w:shd w:fill="EDF1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 price</w:t>
            </w:r>
          </w:p>
        </w:tc>
        <w:tc>
          <w:tcPr>
            <w:tcW w:type="dxa" w:w="1800"/>
            <w:shd w:fill="EDF1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Qty (из чертежей)</w:t>
            </w:r>
          </w:p>
        </w:tc>
        <w:tc>
          <w:tcPr>
            <w:tcW w:type="dxa" w:w="1600"/>
            <w:shd w:fill="EDF1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Mosaic tile floor — supply &amp; install (standard mosaic)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SF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$16.00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 SF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$__________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Membrane / substrate prep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SF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$3.50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 SF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$__________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Premium/imported mosaic (if specified) — add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SF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$6.00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 SF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$__________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Mobilization / minimum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LS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$1,500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$1,500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TILE TOTAL →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$__________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2E4A62"/>
          <w:sz w:val="26"/>
          <w:szCs w:val="26"/>
        </w:rPr>
        <w:t xml:space="preserve">Перед подачей (чек-лист)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1) Скачать в BuildingConnected обе формы: «DIV.9 PAINTING SCOPE CONFIRMATION.pdf» и «DIV.9 TILE SCOPE CONFIRMATION.pdf».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2) Перенести подтверждающий текст из этого файла на их формы, подписать (подпись + дата + компания + лицензия/EIN).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3) Вытащить из чертежей метраж (SF) по покраске и по плитке → вписать в worksheet, посчитать TOTAL.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4) Приложить COI (страховка) и W-9, если требуются.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5) В BuildingConnected нажать «Bidding» → загрузить: (а) заполненные Scope Confirmation, (б) наш proposal с суммами.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6) Дедлайн — 1 сентября 2026. Успеть до времени, указанного в RFP.</w:t>
      </w:r>
    </w:p>
    <w:p>
      <w:pPr>
        <w:spacing w:before="80"/>
      </w:pPr>
      <w:r>
        <w:rPr>
          <w:rFonts w:ascii="Calibri" w:cs="Calibri" w:eastAsia="Calibri" w:hAnsi="Calibri"/>
          <w:b/>
          <w:bCs/>
          <w:color w:val="B23A2E"/>
          <w:sz w:val="22"/>
          <w:szCs w:val="22"/>
        </w:rPr>
        <w:t xml:space="preserve">ВАЖНО (публичный проект Miami Beach): </w:t>
      </w:r>
      <w:r>
        <w:rPr>
          <w:rFonts w:ascii="Calibri" w:cs="Calibri" w:eastAsia="Calibri" w:hAnsi="Calibri"/>
          <w:sz w:val="22"/>
          <w:szCs w:val="22"/>
        </w:rPr>
        <w:t xml:space="preserve">уточни у GC — нужен ли bid bond / payment&amp;performance bond, применяется ли prevailing wage (Davis-Bacon/местные ставки) и требования по опыту/референсам. Для новой компании это может потребовать со-подписанта по бонду или партнёра. Если бонды обязательны — заложим их отдельной строкой.</w:t>
      </w:r>
    </w:p>
    <w:p>
      <w:pPr>
        <w:spacing w:after="200" w:before="200"/>
      </w:pPr>
      <w:r>
        <w:rPr>
          <w:rFonts w:ascii="Calibri" w:cs="Calibri" w:eastAsia="Calibri" w:hAnsi="Calibri"/>
          <w:sz w:val="22"/>
          <w:szCs w:val="22"/>
        </w:rPr>
        <w:t xml:space="preserve">Respectfully submitted,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Aleksandr Orlov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ISP Group LLC  ·  info@ispgroupgc.com  ·  estimating@ispgroupgc.com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ISP Group LLC</dc:creator>
  <cp:lastModifiedBy>Un-named</cp:lastModifiedBy>
  <cp:revision>1</cp:revision>
  <dcterms:created xsi:type="dcterms:W3CDTF">2026-08-27T15:30:08.267Z</dcterms:created>
  <dcterms:modified xsi:type="dcterms:W3CDTF">2026-08-27T15:30:08.281Z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