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Aventura, FL 33160, USA  ·  estimating@ispgroupgc.com</w:t>
      </w:r>
    </w:p>
    <w:p>
      <w:pPr>
        <w:pBdr>
          <w:bottom w:val="single" w:color="CCCCCC" w:sz="6" w:space="1"/>
        </w:pBdr>
        <w:spacing w:after="20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Company name]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name, title]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Via: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[email / platform]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Firm buying interest —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&amp; grade, e.g. Copper Concentrate 25% Cu]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 am writing on behalf of ISP Group LLC, a U.S.-based trading and supply company. We reviewed your offer for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/ grade]</w:t>
      </w:r>
      <w:r>
        <w:rPr>
          <w:rFonts w:ascii="Calibri" w:cs="Calibri" w:eastAsia="Calibri" w:hAnsi="Calibri"/>
          <w:sz w:val="22"/>
          <w:szCs w:val="22"/>
        </w:rPr>
        <w:t xml:space="preserve"> and are a ready, funded buyer for this material. I will be direct so we do not waste each other’s time: we move quickly when the parcel is real, the counterparty is the title-holder or a mandated seller, and the numbers are transparent.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Our interest is a first purchase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[commodity, grade / assay, e.g. 25% Cu min]</w:t>
      </w:r>
      <w:r>
        <w:rPr>
          <w:rFonts w:ascii="Calibri" w:cs="Calibri" w:eastAsia="Calibri" w:hAnsi="Calibri"/>
          <w:sz w:val="22"/>
          <w:szCs w:val="22"/>
        </w:rPr>
        <w:t xml:space="preserve">, with the intent of a recurring monthly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should the first shipment perform. Delivery basis of interest: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[FOB / CIF / DDP — destination]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 proceed to a firm offer, please confirm the following in writing: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Are you the producer, the current title-holder, or a broker for this parcel? If broker, please state the chain to the title-holder.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Material &amp; assay. </w:t>
      </w:r>
      <w:r>
        <w:rPr>
          <w:rFonts w:ascii="Calibri" w:cs="Calibri" w:eastAsia="Calibri" w:hAnsi="Calibri"/>
          <w:sz w:val="22"/>
          <w:szCs w:val="22"/>
        </w:rPr>
        <w:t xml:space="preserve">Latest independent assay (lab, report no., date) — full element breakdown, moisture, and penalty elements. We will require re-assay by SGS / Alfred H. Knight at loading.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Origin. </w:t>
      </w:r>
      <w:r>
        <w:rPr>
          <w:rFonts w:ascii="Calibri" w:cs="Calibri" w:eastAsia="Calibri" w:hAnsi="Calibri"/>
          <w:sz w:val="22"/>
          <w:szCs w:val="22"/>
        </w:rPr>
        <w:t xml:space="preserve">Mine / plant name and country of origin, plus export licence or certificate of origin.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Current location &amp; availability. </w:t>
      </w:r>
      <w:r>
        <w:rPr>
          <w:rFonts w:ascii="Calibri" w:cs="Calibri" w:eastAsia="Calibri" w:hAnsi="Calibri"/>
          <w:sz w:val="22"/>
          <w:szCs w:val="22"/>
        </w:rPr>
        <w:t xml:space="preserve">Where the material physically sits today (warehouse / port), who holds title now, and the exact tonnage currently unsold and available.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Dated stock photos, packing list / weighbridge tickets, and warehouse receipt or holding certificate.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Commercials. </w:t>
      </w:r>
      <w:r>
        <w:rPr>
          <w:rFonts w:ascii="Calibri" w:cs="Calibri" w:eastAsia="Calibri" w:hAnsi="Calibri"/>
          <w:sz w:val="22"/>
          <w:szCs w:val="22"/>
        </w:rPr>
        <w:t xml:space="preserve">Your price on the stated basis, payment terms, and readiness to transact under independent inspection with payment via LC or escrow against shipping documents.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On our side, you are dealing with a serious counterparty: we are prepared to provide proof of funds, appoint and pay for independent inspection, and settle through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[LC at sight / escrow]</w:t>
      </w:r>
      <w:r>
        <w:rPr>
          <w:rFonts w:ascii="Calibri" w:cs="Calibri" w:eastAsia="Calibri" w:hAnsi="Calibri"/>
          <w:sz w:val="22"/>
          <w:szCs w:val="22"/>
        </w:rPr>
        <w:t xml:space="preserve"> against clean shipping documents. We do not send advance payment to personal accounts, and we expect the same professionalism in return — that protects both of us.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If the original parcel is no longer available, I would welcome your current stock of the same or comparable material — we are an active buyer, not a one-time enquiry.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Please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estimating@ispgroupgc.com</w:t>
      </w:r>
      <w:r>
        <w:rPr>
          <w:rFonts w:ascii="Calibri" w:cs="Calibri" w:eastAsia="Calibri" w:hAnsi="Calibri"/>
          <w:sz w:val="22"/>
          <w:szCs w:val="22"/>
        </w:rPr>
        <w:t xml:space="preserve">. On receipt of the assay and confirmation of availability, I will respond with a firm target and a proposed path to contract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 I look forward to doing good business with you.</w:t>
      </w:r>
    </w:p>
    <w:p>
      <w:pPr>
        <w:spacing w:after="240" w:before="20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Aleksandr Orlov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Managing Member — ISP Group LLC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estimating@ispgroupgc.com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[Add: proof-of-funds available on NCNDA · SGS/AHK inspection · LC/escrow settlement]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2026-08-21T13:18:07.108Z</dcterms:created>
  <dcterms:modified xsi:type="dcterms:W3CDTF">2026-08-21T13:18:07.108Z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