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550A1" w14:textId="6B0CBC0B" w:rsidR="00904D6D" w:rsidRPr="0060379D" w:rsidRDefault="00901097" w:rsidP="00956EB6">
      <w:pPr>
        <w:pStyle w:val="Title"/>
        <w:rPr>
          <w:sz w:val="32"/>
          <w:szCs w:val="32"/>
        </w:rPr>
      </w:pPr>
      <w:r w:rsidRPr="00901097">
        <w:rPr>
          <w:sz w:val="32"/>
          <w:szCs w:val="32"/>
          <w:lang w:val="en-ID"/>
        </w:rPr>
        <w:t>IMPLEMENTATION OF BERT FOR</w:t>
      </w:r>
      <w:r>
        <w:rPr>
          <w:sz w:val="32"/>
          <w:szCs w:val="32"/>
          <w:lang w:val="en-ID"/>
        </w:rPr>
        <w:t xml:space="preserve"> AUTOMATIC </w:t>
      </w:r>
      <w:r w:rsidRPr="00901097">
        <w:rPr>
          <w:sz w:val="32"/>
          <w:szCs w:val="32"/>
          <w:lang w:val="en-ID"/>
        </w:rPr>
        <w:t>IDENTIFICA</w:t>
      </w:r>
      <w:r>
        <w:rPr>
          <w:sz w:val="32"/>
          <w:szCs w:val="32"/>
          <w:lang w:val="en-ID"/>
        </w:rPr>
        <w:t xml:space="preserve">TION LEGAL ENTITIES IN JUDGMENT </w:t>
      </w:r>
      <w:r w:rsidRPr="00901097">
        <w:rPr>
          <w:sz w:val="32"/>
          <w:szCs w:val="32"/>
          <w:lang w:val="en-ID"/>
        </w:rPr>
        <w:t>DOCUMENTS COURT DECISION DOCUMENT</w:t>
      </w:r>
    </w:p>
    <w:p w14:paraId="2A832E5F" w14:textId="04FE9E51" w:rsidR="00904D6D" w:rsidRDefault="00904D6D" w:rsidP="00904D6D">
      <w:pPr>
        <w:jc w:val="center"/>
        <w:rPr>
          <w:b/>
          <w:bCs/>
        </w:rPr>
      </w:pPr>
    </w:p>
    <w:p w14:paraId="370C47FE" w14:textId="77777777" w:rsidR="005E51F9" w:rsidRPr="003D5B84" w:rsidRDefault="005E51F9" w:rsidP="00904D6D">
      <w:pPr>
        <w:jc w:val="center"/>
        <w:rPr>
          <w:b/>
          <w:bCs/>
        </w:rPr>
      </w:pPr>
    </w:p>
    <w:p w14:paraId="7A9F44CF" w14:textId="7B5BC119" w:rsidR="00062EE6" w:rsidRPr="00D74C5F" w:rsidRDefault="001C42E3" w:rsidP="00062EE6">
      <w:pPr>
        <w:jc w:val="center"/>
        <w:rPr>
          <w:b/>
          <w:bCs/>
        </w:rPr>
      </w:pPr>
      <w:r>
        <w:rPr>
          <w:b/>
          <w:bCs/>
        </w:rPr>
        <w:t xml:space="preserve">Dr. </w:t>
      </w:r>
      <w:r w:rsidRPr="001C42E3">
        <w:rPr>
          <w:b/>
          <w:bCs/>
        </w:rPr>
        <w:t xml:space="preserve">Firdaus </w:t>
      </w:r>
      <w:proofErr w:type="spellStart"/>
      <w:r w:rsidRPr="001C42E3">
        <w:rPr>
          <w:b/>
          <w:bCs/>
        </w:rPr>
        <w:t>Solihin</w:t>
      </w:r>
      <w:proofErr w:type="spellEnd"/>
      <w:r w:rsidRPr="001C42E3">
        <w:rPr>
          <w:b/>
          <w:bCs/>
        </w:rPr>
        <w:t xml:space="preserve">, </w:t>
      </w:r>
      <w:proofErr w:type="spellStart"/>
      <w:proofErr w:type="gramStart"/>
      <w:r w:rsidRPr="001C42E3">
        <w:rPr>
          <w:b/>
          <w:bCs/>
        </w:rPr>
        <w:t>S.Kom</w:t>
      </w:r>
      <w:proofErr w:type="spellEnd"/>
      <w:proofErr w:type="gramEnd"/>
      <w:r w:rsidRPr="001C42E3">
        <w:rPr>
          <w:b/>
          <w:bCs/>
        </w:rPr>
        <w:t>., M.Kom.</w:t>
      </w:r>
      <w:r w:rsidR="00A67CD8">
        <w:rPr>
          <w:b/>
          <w:bCs/>
          <w:vertAlign w:val="superscript"/>
        </w:rPr>
        <w:t>1</w:t>
      </w:r>
      <w:r w:rsidR="00A67CD8">
        <w:rPr>
          <w:b/>
          <w:bCs/>
        </w:rPr>
        <w:t xml:space="preserve">, </w:t>
      </w:r>
      <w:r w:rsidRPr="001C42E3">
        <w:rPr>
          <w:b/>
          <w:bCs/>
          <w:lang w:val="id-ID"/>
        </w:rPr>
        <w:t>Dr. Noor Ifada, S.T., MISD.</w:t>
      </w:r>
      <w:r>
        <w:rPr>
          <w:b/>
          <w:bCs/>
          <w:vertAlign w:val="superscript"/>
        </w:rPr>
        <w:t>2</w:t>
      </w:r>
      <w:r w:rsidR="00062EE6" w:rsidRPr="003D5B84">
        <w:rPr>
          <w:b/>
          <w:bCs/>
          <w:lang w:val="id-ID"/>
        </w:rPr>
        <w:t xml:space="preserve">, </w:t>
      </w:r>
      <w:r>
        <w:rPr>
          <w:b/>
          <w:bCs/>
        </w:rPr>
        <w:t xml:space="preserve">Ahmad </w:t>
      </w:r>
      <w:proofErr w:type="spellStart"/>
      <w:r>
        <w:rPr>
          <w:b/>
          <w:bCs/>
        </w:rPr>
        <w:t>Rosyihuddin</w:t>
      </w:r>
      <w:proofErr w:type="spellEnd"/>
      <w:r>
        <w:rPr>
          <w:b/>
          <w:bCs/>
        </w:rPr>
        <w:t>, S.Kom</w:t>
      </w:r>
      <w:r w:rsidR="0093175D">
        <w:rPr>
          <w:b/>
          <w:bCs/>
          <w:vertAlign w:val="superscript"/>
        </w:rPr>
        <w:t>3</w:t>
      </w:r>
    </w:p>
    <w:p w14:paraId="63802DA9" w14:textId="136B5072" w:rsidR="0093175D" w:rsidRDefault="00A67CD8" w:rsidP="00B9642F">
      <w:pPr>
        <w:jc w:val="center"/>
        <w:rPr>
          <w:sz w:val="16"/>
          <w:szCs w:val="16"/>
        </w:rPr>
      </w:pPr>
      <w:r>
        <w:rPr>
          <w:sz w:val="16"/>
          <w:szCs w:val="16"/>
          <w:vertAlign w:val="superscript"/>
        </w:rPr>
        <w:t>1</w:t>
      </w:r>
      <w:r w:rsidR="0093175D" w:rsidRPr="0093175D">
        <w:rPr>
          <w:sz w:val="16"/>
          <w:szCs w:val="16"/>
        </w:rPr>
        <w:t xml:space="preserve">Power Electronics and Renewable Energy Research Laboratory </w:t>
      </w:r>
      <w:r w:rsidR="0093175D">
        <w:rPr>
          <w:sz w:val="16"/>
          <w:szCs w:val="16"/>
        </w:rPr>
        <w:t>(</w:t>
      </w:r>
      <w:r w:rsidR="0093175D" w:rsidRPr="0093175D">
        <w:rPr>
          <w:sz w:val="16"/>
          <w:szCs w:val="16"/>
        </w:rPr>
        <w:t>PEAR-L</w:t>
      </w:r>
      <w:r w:rsidR="0093175D">
        <w:rPr>
          <w:sz w:val="16"/>
          <w:szCs w:val="16"/>
        </w:rPr>
        <w:t>)</w:t>
      </w:r>
      <w:r w:rsidR="0093175D" w:rsidRPr="0093175D">
        <w:rPr>
          <w:sz w:val="16"/>
          <w:szCs w:val="16"/>
        </w:rPr>
        <w:t xml:space="preserve">, University of Malaya, </w:t>
      </w:r>
      <w:r w:rsidR="0093175D">
        <w:rPr>
          <w:sz w:val="16"/>
          <w:szCs w:val="16"/>
        </w:rPr>
        <w:t xml:space="preserve">Kuala Lumpur, </w:t>
      </w:r>
      <w:r w:rsidR="0093175D" w:rsidRPr="0093175D">
        <w:rPr>
          <w:sz w:val="16"/>
          <w:szCs w:val="16"/>
        </w:rPr>
        <w:t>Malaysia</w:t>
      </w:r>
      <w:r w:rsidR="0093175D">
        <w:rPr>
          <w:sz w:val="16"/>
          <w:szCs w:val="16"/>
        </w:rPr>
        <w:t xml:space="preserve"> </w:t>
      </w:r>
      <w:r w:rsidR="0093175D" w:rsidRPr="00EA2B1D">
        <w:rPr>
          <w:sz w:val="16"/>
          <w:szCs w:val="16"/>
        </w:rPr>
        <w:t>(</w:t>
      </w:r>
      <w:r w:rsidR="0093175D" w:rsidRPr="00E554F6">
        <w:rPr>
          <w:sz w:val="16"/>
          <w:szCs w:val="16"/>
        </w:rPr>
        <w:t>8 pt)</w:t>
      </w:r>
    </w:p>
    <w:p w14:paraId="385F0009" w14:textId="0FB41125" w:rsidR="00B9642F" w:rsidRPr="00E554F6" w:rsidRDefault="0093175D" w:rsidP="0093175D">
      <w:pPr>
        <w:jc w:val="center"/>
        <w:rPr>
          <w:sz w:val="16"/>
          <w:szCs w:val="16"/>
        </w:rPr>
      </w:pPr>
      <w:r>
        <w:rPr>
          <w:sz w:val="16"/>
          <w:szCs w:val="16"/>
          <w:vertAlign w:val="superscript"/>
        </w:rPr>
        <w:t>2</w:t>
      </w:r>
      <w:r w:rsidRPr="0093175D">
        <w:rPr>
          <w:sz w:val="16"/>
          <w:szCs w:val="16"/>
        </w:rPr>
        <w:t>Department of Electrical Engineering</w:t>
      </w:r>
      <w:r>
        <w:rPr>
          <w:sz w:val="16"/>
          <w:szCs w:val="16"/>
        </w:rPr>
        <w:t xml:space="preserve">, </w:t>
      </w:r>
      <w:r w:rsidRPr="0093175D">
        <w:rPr>
          <w:sz w:val="16"/>
          <w:szCs w:val="16"/>
        </w:rPr>
        <w:t>Faculty of Engineering</w:t>
      </w:r>
      <w:r>
        <w:rPr>
          <w:sz w:val="16"/>
          <w:szCs w:val="16"/>
        </w:rPr>
        <w:t xml:space="preserve">, </w:t>
      </w:r>
      <w:r w:rsidRPr="0093175D">
        <w:rPr>
          <w:sz w:val="16"/>
          <w:szCs w:val="16"/>
        </w:rPr>
        <w:t xml:space="preserve">University </w:t>
      </w:r>
      <w:r>
        <w:rPr>
          <w:sz w:val="16"/>
          <w:szCs w:val="16"/>
        </w:rPr>
        <w:t>o</w:t>
      </w:r>
      <w:r w:rsidRPr="0093175D">
        <w:rPr>
          <w:sz w:val="16"/>
          <w:szCs w:val="16"/>
        </w:rPr>
        <w:t>f Malaya</w:t>
      </w:r>
      <w:r>
        <w:rPr>
          <w:sz w:val="16"/>
          <w:szCs w:val="16"/>
        </w:rPr>
        <w:t xml:space="preserve">, Kuala Lumpur, </w:t>
      </w:r>
      <w:r w:rsidRPr="0093175D">
        <w:rPr>
          <w:sz w:val="16"/>
          <w:szCs w:val="16"/>
        </w:rPr>
        <w:t>Malaysia</w:t>
      </w:r>
      <w:r>
        <w:rPr>
          <w:sz w:val="16"/>
          <w:szCs w:val="16"/>
        </w:rPr>
        <w:br/>
      </w:r>
      <w:r>
        <w:rPr>
          <w:sz w:val="16"/>
          <w:szCs w:val="16"/>
          <w:vertAlign w:val="superscript"/>
        </w:rPr>
        <w:t>3</w:t>
      </w:r>
      <w:r w:rsidR="00EA2B1D" w:rsidRPr="00EA2B1D">
        <w:rPr>
          <w:sz w:val="16"/>
          <w:szCs w:val="16"/>
        </w:rPr>
        <w:t>Division of Graduate Studies, Tijuana Institute of Technology, Tijuana, Mexico</w:t>
      </w:r>
    </w:p>
    <w:p w14:paraId="557DF927" w14:textId="4D489A7A" w:rsidR="00904D6D" w:rsidRDefault="00904D6D" w:rsidP="0088233C">
      <w:pPr>
        <w:jc w:val="cente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7"/>
        <w:gridCol w:w="282"/>
        <w:gridCol w:w="5776"/>
      </w:tblGrid>
      <w:tr w:rsidR="006B027E" w14:paraId="513CAD48" w14:textId="77777777" w:rsidTr="00E77E1F">
        <w:trPr>
          <w:jc w:val="center"/>
        </w:trPr>
        <w:tc>
          <w:tcPr>
            <w:tcW w:w="2802"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7B74F735" w14:textId="6F8A8331" w:rsidR="00957C11" w:rsidRPr="00957C11" w:rsidRDefault="00957C11" w:rsidP="00957C11">
            <w:pPr>
              <w:spacing w:before="120"/>
              <w:rPr>
                <w:color w:val="000000"/>
                <w:sz w:val="24"/>
                <w:szCs w:val="24"/>
              </w:rPr>
            </w:pPr>
            <w:r w:rsidRPr="00957C11">
              <w:rPr>
                <w:b/>
                <w:bCs/>
                <w:iCs/>
                <w:color w:val="000000"/>
              </w:rPr>
              <w:t>ABSTRACT</w:t>
            </w:r>
          </w:p>
        </w:tc>
      </w:tr>
      <w:tr w:rsidR="00941203" w14:paraId="66C69584" w14:textId="77777777" w:rsidTr="00E77E1F">
        <w:trPr>
          <w:trHeight w:val="1268"/>
          <w:jc w:val="center"/>
        </w:trPr>
        <w:tc>
          <w:tcPr>
            <w:tcW w:w="2802"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48BDA2EA" w:rsidR="00941203" w:rsidRDefault="00941203" w:rsidP="00957C11">
            <w:pPr>
              <w:jc w:val="both"/>
            </w:pPr>
            <w:r w:rsidRPr="00957C11">
              <w:t>Received</w:t>
            </w:r>
            <w:r>
              <w:t xml:space="preserve"> </w:t>
            </w:r>
            <w:r w:rsidR="00E554F6" w:rsidRPr="00E554F6">
              <w:t>month</w:t>
            </w:r>
            <w:r w:rsidR="00523156" w:rsidRPr="00523156">
              <w:t xml:space="preserve"> dd, </w:t>
            </w:r>
            <w:proofErr w:type="spellStart"/>
            <w:r w:rsidR="00523156" w:rsidRPr="00523156">
              <w:t>yyyy</w:t>
            </w:r>
            <w:proofErr w:type="spellEnd"/>
          </w:p>
          <w:p w14:paraId="745B47E5" w14:textId="5709D155" w:rsidR="00941203" w:rsidRDefault="00941203" w:rsidP="00957C11">
            <w:pPr>
              <w:jc w:val="both"/>
            </w:pPr>
            <w:r>
              <w:t xml:space="preserve">Revised </w:t>
            </w:r>
            <w:r w:rsidR="00E554F6" w:rsidRPr="00E554F6">
              <w:t>month</w:t>
            </w:r>
            <w:r w:rsidR="00523156" w:rsidRPr="00523156">
              <w:t xml:space="preserve"> dd, </w:t>
            </w:r>
            <w:proofErr w:type="spellStart"/>
            <w:r w:rsidR="00523156" w:rsidRPr="00523156">
              <w:t>yyyy</w:t>
            </w:r>
            <w:proofErr w:type="spellEnd"/>
          </w:p>
          <w:p w14:paraId="6CE20EAE" w14:textId="442A41FB" w:rsidR="00941203" w:rsidRDefault="00941203" w:rsidP="00957C11">
            <w:pPr>
              <w:jc w:val="both"/>
            </w:pPr>
            <w:r>
              <w:t xml:space="preserve">Accepted </w:t>
            </w:r>
            <w:r w:rsidR="00E554F6" w:rsidRPr="00E554F6">
              <w:t>month</w:t>
            </w:r>
            <w:r w:rsidR="00523156" w:rsidRPr="00523156">
              <w:t xml:space="preserve"> dd, </w:t>
            </w:r>
            <w:proofErr w:type="spellStart"/>
            <w:r w:rsidR="00523156" w:rsidRPr="00523156">
              <w:t>yyyy</w:t>
            </w:r>
            <w:proofErr w:type="spellEnd"/>
          </w:p>
          <w:p w14:paraId="375A1808" w14:textId="77777777" w:rsidR="00941203" w:rsidRPr="00957C11" w:rsidRDefault="00941203" w:rsidP="009412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647B3C56" w14:textId="54B5343B" w:rsidR="00941203" w:rsidRPr="00901097" w:rsidRDefault="00901097" w:rsidP="00901097">
            <w:pPr>
              <w:jc w:val="both"/>
              <w:rPr>
                <w:iCs/>
                <w:color w:val="000000"/>
                <w:sz w:val="18"/>
                <w:szCs w:val="18"/>
              </w:rPr>
            </w:pPr>
            <w:r w:rsidRPr="00901097">
              <w:rPr>
                <w:iCs/>
                <w:color w:val="000000"/>
                <w:sz w:val="18"/>
                <w:szCs w:val="18"/>
              </w:rPr>
              <w:t xml:space="preserve">Legal decision documents are crucial for tasks such as case data mapping and legal text analysis but are difficult to understand due to their complexity and length. To address this, Named Entity Recognition (NER) is applied, which can automatically identify entities like defendant names and decision dates in the documents. In Indonesia, although research on entity extraction from legal documents exists, Transformers-based Deep Learning models such as BERT have not been utilized. This study uses Indonesian BERT models, namely </w:t>
            </w:r>
            <w:proofErr w:type="spellStart"/>
            <w:r w:rsidRPr="00901097">
              <w:rPr>
                <w:iCs/>
                <w:color w:val="000000"/>
                <w:sz w:val="18"/>
                <w:szCs w:val="18"/>
              </w:rPr>
              <w:t>indolem</w:t>
            </w:r>
            <w:proofErr w:type="spellEnd"/>
            <w:r w:rsidRPr="00901097">
              <w:rPr>
                <w:iCs/>
                <w:color w:val="000000"/>
                <w:sz w:val="18"/>
                <w:szCs w:val="18"/>
              </w:rPr>
              <w:t>/</w:t>
            </w:r>
            <w:proofErr w:type="spellStart"/>
            <w:r w:rsidRPr="00901097">
              <w:rPr>
                <w:iCs/>
                <w:color w:val="000000"/>
                <w:sz w:val="18"/>
                <w:szCs w:val="18"/>
              </w:rPr>
              <w:t>indobert</w:t>
            </w:r>
            <w:proofErr w:type="spellEnd"/>
            <w:r w:rsidRPr="00901097">
              <w:rPr>
                <w:iCs/>
                <w:color w:val="000000"/>
                <w:sz w:val="18"/>
                <w:szCs w:val="18"/>
              </w:rPr>
              <w:t xml:space="preserve">-base-uncased and </w:t>
            </w:r>
            <w:proofErr w:type="spellStart"/>
            <w:r w:rsidRPr="00901097">
              <w:rPr>
                <w:iCs/>
                <w:color w:val="000000"/>
                <w:sz w:val="18"/>
                <w:szCs w:val="18"/>
              </w:rPr>
              <w:t>indobenchmark</w:t>
            </w:r>
            <w:proofErr w:type="spellEnd"/>
            <w:r w:rsidRPr="00901097">
              <w:rPr>
                <w:iCs/>
                <w:color w:val="000000"/>
                <w:sz w:val="18"/>
                <w:szCs w:val="18"/>
              </w:rPr>
              <w:t xml:space="preserve">/indobert-base-p2, which are trained on </w:t>
            </w:r>
            <w:proofErr w:type="spellStart"/>
            <w:r w:rsidRPr="00901097">
              <w:rPr>
                <w:iCs/>
                <w:color w:val="000000"/>
                <w:sz w:val="18"/>
                <w:szCs w:val="18"/>
              </w:rPr>
              <w:t>IndoLEM</w:t>
            </w:r>
            <w:proofErr w:type="spellEnd"/>
            <w:r w:rsidRPr="00901097">
              <w:rPr>
                <w:iCs/>
                <w:color w:val="000000"/>
                <w:sz w:val="18"/>
                <w:szCs w:val="18"/>
              </w:rPr>
              <w:t xml:space="preserve"> and </w:t>
            </w:r>
            <w:proofErr w:type="spellStart"/>
            <w:r w:rsidRPr="00901097">
              <w:rPr>
                <w:iCs/>
                <w:color w:val="000000"/>
                <w:sz w:val="18"/>
                <w:szCs w:val="18"/>
              </w:rPr>
              <w:t>IndoNLU</w:t>
            </w:r>
            <w:proofErr w:type="spellEnd"/>
            <w:r w:rsidRPr="00901097">
              <w:rPr>
                <w:iCs/>
                <w:color w:val="000000"/>
                <w:sz w:val="18"/>
                <w:szCs w:val="18"/>
              </w:rPr>
              <w:t xml:space="preserve"> datasets. The data were collected by downloading 1,000 documents from the Supreme Court Decision Directory website. The process involves preprocessing, annotation, data division using 5-Fold Cross Validation, modeling, and evaluation. The results show that the </w:t>
            </w:r>
            <w:proofErr w:type="spellStart"/>
            <w:r w:rsidRPr="00901097">
              <w:rPr>
                <w:iCs/>
                <w:color w:val="000000"/>
                <w:sz w:val="18"/>
                <w:szCs w:val="18"/>
              </w:rPr>
              <w:t>indolem</w:t>
            </w:r>
            <w:proofErr w:type="spellEnd"/>
            <w:r w:rsidRPr="00901097">
              <w:rPr>
                <w:iCs/>
                <w:color w:val="000000"/>
                <w:sz w:val="18"/>
                <w:szCs w:val="18"/>
              </w:rPr>
              <w:t>/</w:t>
            </w:r>
            <w:proofErr w:type="spellStart"/>
            <w:r w:rsidRPr="00901097">
              <w:rPr>
                <w:iCs/>
                <w:color w:val="000000"/>
                <w:sz w:val="18"/>
                <w:szCs w:val="18"/>
              </w:rPr>
              <w:t>indobert</w:t>
            </w:r>
            <w:proofErr w:type="spellEnd"/>
            <w:r w:rsidRPr="00901097">
              <w:rPr>
                <w:iCs/>
                <w:color w:val="000000"/>
                <w:sz w:val="18"/>
                <w:szCs w:val="18"/>
              </w:rPr>
              <w:t xml:space="preserve">-base-uncased model consistently outperforms the </w:t>
            </w:r>
            <w:proofErr w:type="spellStart"/>
            <w:r w:rsidRPr="00901097">
              <w:rPr>
                <w:iCs/>
                <w:color w:val="000000"/>
                <w:sz w:val="18"/>
                <w:szCs w:val="18"/>
              </w:rPr>
              <w:t>indobenchmark</w:t>
            </w:r>
            <w:proofErr w:type="spellEnd"/>
            <w:r w:rsidRPr="00901097">
              <w:rPr>
                <w:iCs/>
                <w:color w:val="000000"/>
                <w:sz w:val="18"/>
                <w:szCs w:val="18"/>
              </w:rPr>
              <w:t xml:space="preserve">/indobert-base-p2 in NER tasks within the legal domain, with average precision, recall, and F1-score values of 90%, 88%, and 89%, respectively. In contrast, </w:t>
            </w:r>
            <w:proofErr w:type="spellStart"/>
            <w:r w:rsidRPr="00901097">
              <w:rPr>
                <w:iCs/>
                <w:color w:val="000000"/>
                <w:sz w:val="18"/>
                <w:szCs w:val="18"/>
              </w:rPr>
              <w:t>indobenchmark</w:t>
            </w:r>
            <w:proofErr w:type="spellEnd"/>
            <w:r w:rsidRPr="00901097">
              <w:rPr>
                <w:iCs/>
                <w:color w:val="000000"/>
                <w:sz w:val="18"/>
                <w:szCs w:val="18"/>
              </w:rPr>
              <w:t>/indobert-base-p2 recorded precision, recall, and F1-score values of 88%, 88%, and 84%, respectively. This demonstrates the potential of BERT models to enhance the accuracy and efficiency of entit</w:t>
            </w:r>
            <w:r>
              <w:rPr>
                <w:iCs/>
                <w:color w:val="000000"/>
                <w:sz w:val="18"/>
                <w:szCs w:val="18"/>
              </w:rPr>
              <w:t>y extraction in legal contexts</w:t>
            </w:r>
            <w:r w:rsidR="005C4941">
              <w:rPr>
                <w:iCs/>
                <w:color w:val="000000"/>
                <w:sz w:val="18"/>
                <w:szCs w:val="18"/>
              </w:rPr>
              <w:t>.</w:t>
            </w:r>
          </w:p>
        </w:tc>
      </w:tr>
      <w:tr w:rsidR="00941203" w14:paraId="5AB61300" w14:textId="77777777" w:rsidTr="00E77E1F">
        <w:trPr>
          <w:trHeight w:val="1231"/>
          <w:jc w:val="center"/>
        </w:trPr>
        <w:tc>
          <w:tcPr>
            <w:tcW w:w="2802" w:type="dxa"/>
            <w:vMerge w:val="restart"/>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4C3E5936" w14:textId="0F1F75CC" w:rsidR="00941203" w:rsidRDefault="00901097" w:rsidP="00941203">
            <w:pPr>
              <w:jc w:val="both"/>
            </w:pPr>
            <w:r w:rsidRPr="00901097">
              <w:t>Legal Decision Document</w:t>
            </w:r>
          </w:p>
          <w:p w14:paraId="0EF152BF" w14:textId="246F5D5A" w:rsidR="00941203" w:rsidRDefault="00901097" w:rsidP="00941203">
            <w:pPr>
              <w:jc w:val="both"/>
            </w:pPr>
            <w:r w:rsidRPr="00901097">
              <w:t>Named Entity Recognition (NER)</w:t>
            </w:r>
          </w:p>
          <w:p w14:paraId="5B0032F7" w14:textId="03A414C8" w:rsidR="00941203" w:rsidRDefault="00901097" w:rsidP="00941203">
            <w:pPr>
              <w:jc w:val="both"/>
            </w:pPr>
            <w:r>
              <w:t>BERT</w:t>
            </w:r>
          </w:p>
          <w:p w14:paraId="48BDDC20" w14:textId="78750F71" w:rsidR="002C1C37" w:rsidRDefault="002C1C37" w:rsidP="00941203">
            <w:pPr>
              <w:jc w:val="both"/>
            </w:pPr>
            <w:r>
              <w:t>Deep Learning</w:t>
            </w:r>
          </w:p>
          <w:p w14:paraId="31B015CF" w14:textId="49147BE6" w:rsidR="00941203" w:rsidRDefault="00901097" w:rsidP="00941203">
            <w:pPr>
              <w:jc w:val="both"/>
            </w:pPr>
            <w:proofErr w:type="spellStart"/>
            <w:r>
              <w:t>IndoBERT</w:t>
            </w:r>
            <w:proofErr w:type="spellEnd"/>
          </w:p>
          <w:p w14:paraId="4B416523" w14:textId="149BD7E4" w:rsidR="00941203" w:rsidRPr="007F286F" w:rsidRDefault="00941203" w:rsidP="00901097">
            <w:pPr>
              <w:jc w:val="both"/>
              <w:rPr>
                <w:b/>
                <w:i/>
              </w:rPr>
            </w:pP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812"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E77E1F">
        <w:trPr>
          <w:trHeight w:val="70"/>
          <w:jc w:val="center"/>
        </w:trPr>
        <w:tc>
          <w:tcPr>
            <w:tcW w:w="2802"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2C6B02DA" w14:textId="77777777" w:rsidR="00941203" w:rsidRDefault="00941203" w:rsidP="00957C11">
            <w:pPr>
              <w:spacing w:before="120"/>
              <w:jc w:val="both"/>
            </w:pPr>
          </w:p>
        </w:tc>
        <w:tc>
          <w:tcPr>
            <w:tcW w:w="5812" w:type="dxa"/>
            <w:tcBorders>
              <w:top w:val="nil"/>
              <w:left w:val="nil"/>
              <w:bottom w:val="single" w:sz="4" w:space="0" w:color="auto"/>
              <w:right w:val="nil"/>
            </w:tcBorders>
          </w:tcPr>
          <w:p w14:paraId="205931C6" w14:textId="77777777" w:rsidR="001414E2" w:rsidRDefault="001414E2" w:rsidP="001414E2">
            <w:pPr>
              <w:spacing w:before="120" w:after="120"/>
              <w:jc w:val="right"/>
              <w:rPr>
                <w:i/>
                <w:iCs/>
                <w:color w:val="000000"/>
                <w:sz w:val="18"/>
                <w:szCs w:val="18"/>
              </w:rPr>
            </w:pPr>
            <w:r>
              <w:rPr>
                <w:i/>
                <w:iCs/>
                <w:color w:val="000000"/>
                <w:sz w:val="18"/>
                <w:szCs w:val="18"/>
              </w:rPr>
              <w:t xml:space="preserve">This is an open access article under the </w:t>
            </w:r>
            <w:hyperlink r:id="rId8" w:history="1">
              <w:r>
                <w:rPr>
                  <w:rStyle w:val="Hyperlink"/>
                  <w:i/>
                  <w:iCs/>
                  <w:sz w:val="18"/>
                  <w:szCs w:val="18"/>
                </w:rPr>
                <w:t>CC BY-SA</w:t>
              </w:r>
            </w:hyperlink>
            <w:r>
              <w:rPr>
                <w:i/>
                <w:iCs/>
                <w:color w:val="000000"/>
                <w:sz w:val="18"/>
                <w:szCs w:val="18"/>
              </w:rPr>
              <w:t xml:space="preserve"> license.</w:t>
            </w:r>
          </w:p>
          <w:p w14:paraId="18D744D6" w14:textId="77777777" w:rsidR="00941203" w:rsidRPr="00941203" w:rsidRDefault="001414E2" w:rsidP="001414E2">
            <w:pPr>
              <w:spacing w:before="120" w:after="120"/>
              <w:jc w:val="right"/>
              <w:rPr>
                <w:i/>
                <w:iCs/>
                <w:color w:val="000000"/>
                <w:sz w:val="18"/>
                <w:szCs w:val="18"/>
              </w:rPr>
            </w:pPr>
            <w:r>
              <w:rPr>
                <w:noProof/>
              </w:rPr>
              <w:drawing>
                <wp:inline distT="0" distB="0" distL="0" distR="0" wp14:anchorId="6791ACE3" wp14:editId="5AA265B1">
                  <wp:extent cx="105727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r w:rsidR="007F286F" w14:paraId="294A13ED" w14:textId="77777777" w:rsidTr="00E77E1F">
        <w:trPr>
          <w:jc w:val="center"/>
        </w:trPr>
        <w:tc>
          <w:tcPr>
            <w:tcW w:w="8897"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3C411EDF" w14:textId="79A382A6" w:rsidR="00941203" w:rsidRPr="00B9642F" w:rsidRDefault="0093175D" w:rsidP="00E6043C">
            <w:pPr>
              <w:spacing w:after="120"/>
            </w:pPr>
            <w:r w:rsidRPr="0093175D">
              <w:t xml:space="preserve">Saad </w:t>
            </w:r>
            <w:proofErr w:type="spellStart"/>
            <w:r w:rsidRPr="0093175D">
              <w:t>Mekhilef</w:t>
            </w:r>
            <w:proofErr w:type="spellEnd"/>
            <w:r w:rsidR="00B9642F">
              <w:br/>
            </w:r>
            <w:r w:rsidRPr="0093175D">
              <w:t xml:space="preserve">Power Electronics and Renewable Energy Research Laboratory </w:t>
            </w:r>
            <w:r>
              <w:t>(</w:t>
            </w:r>
            <w:r w:rsidRPr="0093175D">
              <w:t>PEAR-L</w:t>
            </w:r>
            <w:r>
              <w:t>)</w:t>
            </w:r>
            <w:r w:rsidRPr="0093175D">
              <w:t>, University of Malaya</w:t>
            </w:r>
            <w:r>
              <w:br/>
            </w:r>
            <w:r w:rsidR="00E6043C" w:rsidRPr="00E6043C">
              <w:t xml:space="preserve">Balai </w:t>
            </w:r>
            <w:proofErr w:type="spellStart"/>
            <w:r w:rsidR="00E6043C" w:rsidRPr="00E6043C">
              <w:t>Cerap</w:t>
            </w:r>
            <w:proofErr w:type="spellEnd"/>
            <w:r w:rsidR="00E6043C" w:rsidRPr="00E6043C">
              <w:t xml:space="preserve"> UTM, </w:t>
            </w:r>
            <w:proofErr w:type="spellStart"/>
            <w:r w:rsidR="00E6043C" w:rsidRPr="00E6043C">
              <w:t>Lengkok</w:t>
            </w:r>
            <w:proofErr w:type="spellEnd"/>
            <w:r w:rsidR="00E6043C" w:rsidRPr="00E6043C">
              <w:t xml:space="preserve"> Suria, 81310 </w:t>
            </w:r>
            <w:proofErr w:type="spellStart"/>
            <w:r w:rsidR="00E6043C" w:rsidRPr="00E6043C">
              <w:t>Skudai</w:t>
            </w:r>
            <w:proofErr w:type="spellEnd"/>
            <w:r w:rsidR="00E6043C" w:rsidRPr="00E6043C">
              <w:t xml:space="preserve">, Johor, Malaysia </w:t>
            </w:r>
            <w:r w:rsidR="00E6043C">
              <w:br/>
            </w:r>
            <w:r w:rsidR="00062EE6">
              <w:t xml:space="preserve">Email: </w:t>
            </w:r>
            <w:r w:rsidRPr="0093175D">
              <w:t>saad@um.edu.my</w:t>
            </w:r>
          </w:p>
        </w:tc>
      </w:tr>
    </w:tbl>
    <w:p w14:paraId="19EB2672" w14:textId="6182C3C4" w:rsidR="00957C11" w:rsidRDefault="00957C11" w:rsidP="00957C11">
      <w:pPr>
        <w:jc w:val="both"/>
      </w:pPr>
    </w:p>
    <w:p w14:paraId="6D2E917E" w14:textId="77777777" w:rsidR="00C07BEF" w:rsidRPr="00957C11" w:rsidRDefault="00C07BEF" w:rsidP="00957C11">
      <w:pPr>
        <w:jc w:val="both"/>
      </w:pPr>
    </w:p>
    <w:p w14:paraId="2E9083D0" w14:textId="77777777"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(10 PT)</w:t>
      </w:r>
    </w:p>
    <w:p w14:paraId="60F533C6" w14:textId="5DA8A359" w:rsidR="00E97A1D" w:rsidRPr="00E97A1D" w:rsidRDefault="007930BF" w:rsidP="00E97A1D">
      <w:pPr>
        <w:ind w:firstLine="720"/>
        <w:jc w:val="both"/>
        <w:rPr>
          <w:lang w:val="id-ID"/>
        </w:rPr>
      </w:pPr>
      <w:bookmarkStart w:id="0" w:name="_Hlk78354294"/>
      <w:bookmarkStart w:id="1" w:name="_Hlk80000697"/>
      <w:r w:rsidRPr="007930BF">
        <w:rPr>
          <w:lang w:val="id-ID"/>
        </w:rPr>
        <w:t>Legal decision documents are an important source of information that can be utilized for various purposes, such as case data mapping, legal history analysis, and data extraction</w:t>
      </w:r>
      <w:r w:rsidR="00E97A1D" w:rsidRPr="00E97A1D">
        <w:rPr>
          <w:lang w:val="id-ID"/>
        </w:rPr>
        <w:t xml:space="preserve"> </w:t>
      </w:r>
      <w:r w:rsidR="00DC62E7">
        <w:rPr>
          <w:lang w:val="id-ID"/>
        </w:rPr>
        <w:fldChar w:fldCharType="begin" w:fldLock="1"/>
      </w:r>
      <w:r w:rsidR="00DC62E7">
        <w:rPr>
          <w:lang w:val="id-ID"/>
        </w:rPr>
        <w:instrText>ADDIN CSL_CITATION {"citationItems":[{"id":"ITEM-1","itemData":{"DOI":"10.1080/13600869.2021.1964225","ISSN":"13646885","abstract":"The number of legal documents is already huge and growth is occurring at a swift pace; yet, the need to procure information from these documents for various purposes persists. One of the technologies available for this purpose is information extraction (IE), which has been applied widely in different domains to date. However, few research reviews have specifically discussed the development of legal IE. For this reason, it is considered important to conduct a literature review to identify and analyse the research, topics, datasets and methods used in legal IE research. This study used a standard systematic review method as stipulated by the PRISMA guidelines and collected papers from five main databases published between January 1990 and December 2020. A total of 107 articles were selected for inclusion in this review. Legal IE has been employed for various applications to date, but there is a wide range of different conditions, problems, and solutions reported by various studies in applying legal IE in various countries. This study offers a more concrete understanding, a broader perspective and provides an overview of various open problems in this regard so that it can serve as a guide in the development of future legal IE research.","author":[{"dropping-particle":"","family":"Solihin","given":"Firdaus","non-dropping-particle":"","parse-names":false,"suffix":""},{"dropping-particle":"","family":"Budi","given":"Indra","non-dropping-particle":"","parse-names":false,"suffix":""},{"dropping-particle":"","family":"Aji","given":"Rizal Fathoni","non-dropping-particle":"","parse-names":false,"suffix":""},{"dropping-particle":"","family":"Makarim","given":"Edmon","non-dropping-particle":"","parse-names":false,"suffix":""}],"container-title":"International Review of Law, Computers and Technology","id":"ITEM-1","issue":"3","issued":{"date-parts":[["2021"]]},"page":"322-351","title":"Advancement of information extraction use in legal documents","type":"article-journal","volume":"35"},"uris":["http://www.mendeley.com/documents/?uuid=e4d7bba1-6ea9-4011-81a7-88732261e1f6"]}],"mendeley":{"formattedCitation":"[1]","plainTextFormattedCitation":"[1]","previouslyFormattedCitation":"[1]"},"properties":{"noteIndex":0},"schema":"https://github.com/citation-style-language/schema/raw/master/csl-citation.json"}</w:instrText>
      </w:r>
      <w:r w:rsidR="00DC62E7">
        <w:rPr>
          <w:lang w:val="id-ID"/>
        </w:rPr>
        <w:fldChar w:fldCharType="separate"/>
      </w:r>
      <w:r w:rsidR="00DC62E7" w:rsidRPr="00DC62E7">
        <w:rPr>
          <w:noProof/>
          <w:lang w:val="id-ID"/>
        </w:rPr>
        <w:t>[1]</w:t>
      </w:r>
      <w:r w:rsidR="00DC62E7">
        <w:rPr>
          <w:lang w:val="id-ID"/>
        </w:rPr>
        <w:fldChar w:fldCharType="end"/>
      </w:r>
      <w:r w:rsidR="00E97A1D" w:rsidRPr="00E97A1D">
        <w:rPr>
          <w:lang w:val="id-ID"/>
        </w:rPr>
        <w:t xml:space="preserve">. </w:t>
      </w:r>
      <w:r w:rsidRPr="007930BF">
        <w:rPr>
          <w:lang w:val="id-ID"/>
        </w:rPr>
        <w:t>Indonesia's Supreme Court (MA), as an institution that holds judicial power, has the responsibility of analyzing various legal cases based on court decision documents</w:t>
      </w:r>
      <w:r w:rsidR="00E97A1D" w:rsidRPr="00E97A1D">
        <w:rPr>
          <w:lang w:val="id-ID"/>
        </w:rPr>
        <w:t xml:space="preserve"> </w:t>
      </w:r>
      <w:r w:rsidR="00DC62E7">
        <w:rPr>
          <w:lang w:val="id-ID"/>
        </w:rPr>
        <w:fldChar w:fldCharType="begin" w:fldLock="1"/>
      </w:r>
      <w:r w:rsidR="001C57FA">
        <w:rPr>
          <w:lang w:val="id-ID"/>
        </w:rPr>
        <w:instrText>ADDIN CSL_CITATION {"citationItems":[{"id":"ITEM-1","itemData":{"DOI":"10.1109/ICACSIS.2018.8618187","ISBN":"9781728101354","abstract":"Recording of law enforcement needs to measure the extent to what the enforcement law has been carried out in accordance with applicable legal rules. This law enforcement record can be obtained by collecting, analyzing and concluding various legal cases from court decision documents. The number of court decision documents is vast and continues to grow at any time; it requires an extraction process of information that can be run automatically. The conditions of court decision documents that have different use of sentences and the use of word variations are challenges in the process of information extraction. This research proposed rule-based information extraction for court decision documents to exploring and developing the recording of law enforcement in Indonesia. The process uses three steps, identifying structure extraction, tokenization and extracting entities. This research use 150 court decision documents dataset and the experiment has produced 0.82, 0.96, 0.89, beside of average recall, precision, and f-score. This shows that rule-based information extraction can be implemented in the legal domain and supports the development of law enforcement records in Indonesia.","author":[{"dropping-particle":"","family":"Solihin","given":"Firdaus","non-dropping-particle":"","parse-names":false,"suffix":""},{"dropping-particle":"","family":"Budi","given":"Indra","non-dropping-particle":"","parse-names":false,"suffix":""}],"container-title":"2018 International Conference on Advanced Computer Science and Information Systems, ICACSIS 2018","id":"ITEM-1","issued":{"date-parts":[["2019"]]},"page":"349-354","publisher":"IEEE","title":"Recording of law enforcement based on court decision document using rule-based information extraction","type":"article-journal"},"uris":["http://www.mendeley.com/documents/?uuid=27c9fcd9-dee4-45c0-9d32-55897ad6787c"]}],"mendeley":{"formattedCitation":"[2]","plainTextFormattedCitation":"[2]","previouslyFormattedCitation":"[2]"},"properties":{"noteIndex":0},"schema":"https://github.com/citation-style-language/schema/raw/master/csl-citation.json"}</w:instrText>
      </w:r>
      <w:r w:rsidR="00DC62E7">
        <w:rPr>
          <w:lang w:val="id-ID"/>
        </w:rPr>
        <w:fldChar w:fldCharType="separate"/>
      </w:r>
      <w:r w:rsidR="00DC62E7" w:rsidRPr="00DC62E7">
        <w:rPr>
          <w:noProof/>
          <w:lang w:val="id-ID"/>
        </w:rPr>
        <w:t>[2]</w:t>
      </w:r>
      <w:r w:rsidR="00DC62E7">
        <w:rPr>
          <w:lang w:val="id-ID"/>
        </w:rPr>
        <w:fldChar w:fldCharType="end"/>
      </w:r>
      <w:r w:rsidR="00E97A1D" w:rsidRPr="00E97A1D">
        <w:rPr>
          <w:lang w:val="id-ID"/>
        </w:rPr>
        <w:t xml:space="preserve">. </w:t>
      </w:r>
      <w:r w:rsidRPr="007930BF">
        <w:rPr>
          <w:lang w:val="id-ID"/>
        </w:rPr>
        <w:t>As of November 2023, the number of legal decision documents in Indonesia has reached more than 8 million, reflecting the increasing complexity in legal data management and analysis</w:t>
      </w:r>
      <w:r w:rsidR="00E97A1D" w:rsidRPr="00E97A1D">
        <w:rPr>
          <w:lang w:val="id-ID"/>
        </w:rPr>
        <w:t xml:space="preserve"> </w:t>
      </w:r>
      <w:r w:rsidR="001C57FA">
        <w:rPr>
          <w:lang w:val="id-ID"/>
        </w:rPr>
        <w:fldChar w:fldCharType="begin" w:fldLock="1"/>
      </w:r>
      <w:r w:rsidR="001C57FA">
        <w:rPr>
          <w:lang w:val="id-ID"/>
        </w:rPr>
        <w:instrText>ADDIN CSL_CITATION {"citationItems":[{"id":"ITEM-1","itemData":{"URL":"https://putusan3.mahkamahagung.go.id/","accessed":{"date-parts":[["2024","3","30"]]},"id":"ITEM-1","issued":{"date-parts":[["0"]]},"title":"Direktori Putusan","type":"webpage"},"uris":["http://www.mendeley.com/documents/?uuid=cc831916-bedd-3251-983f-6fc7cce505ec"]}],"mendeley":{"formattedCitation":"[3]","plainTextFormattedCitation":"[3]","previouslyFormattedCitation":"[3]"},"properties":{"noteIndex":0},"schema":"https://github.com/citation-style-language/schema/raw/master/csl-citation.json"}</w:instrText>
      </w:r>
      <w:r w:rsidR="001C57FA">
        <w:rPr>
          <w:lang w:val="id-ID"/>
        </w:rPr>
        <w:fldChar w:fldCharType="separate"/>
      </w:r>
      <w:r w:rsidR="001C57FA" w:rsidRPr="001C57FA">
        <w:rPr>
          <w:noProof/>
          <w:lang w:val="id-ID"/>
        </w:rPr>
        <w:t>[3]</w:t>
      </w:r>
      <w:r w:rsidR="001C57FA">
        <w:rPr>
          <w:lang w:val="id-ID"/>
        </w:rPr>
        <w:fldChar w:fldCharType="end"/>
      </w:r>
      <w:r w:rsidR="00E97A1D" w:rsidRPr="00E97A1D">
        <w:rPr>
          <w:lang w:val="id-ID"/>
        </w:rPr>
        <w:t>.</w:t>
      </w:r>
    </w:p>
    <w:p w14:paraId="39D020A0" w14:textId="77777777" w:rsidR="00E97A1D" w:rsidRPr="00E97A1D" w:rsidRDefault="00E97A1D" w:rsidP="00E97A1D">
      <w:pPr>
        <w:ind w:firstLine="720"/>
        <w:jc w:val="both"/>
        <w:rPr>
          <w:lang w:val="id-ID"/>
        </w:rPr>
      </w:pPr>
    </w:p>
    <w:p w14:paraId="008070F9" w14:textId="65478D50" w:rsidR="00E97A1D" w:rsidRPr="00E97A1D" w:rsidRDefault="007930BF" w:rsidP="00E97A1D">
      <w:pPr>
        <w:ind w:firstLine="720"/>
        <w:jc w:val="both"/>
        <w:rPr>
          <w:lang w:val="id-ID"/>
        </w:rPr>
      </w:pPr>
      <w:r w:rsidRPr="007930BF">
        <w:rPr>
          <w:lang w:val="id-ID"/>
        </w:rPr>
        <w:t xml:space="preserve">Although these documents are available in PDF format and organized by judiciary and case type, understanding their contents takes a long time due to their complex structure. Therefore, there is a need for an automated system capable of efficiently extracting important information. Named Entity Recognition (NER) </w:t>
      </w:r>
      <w:r w:rsidRPr="007930BF">
        <w:rPr>
          <w:lang w:val="id-ID"/>
        </w:rPr>
        <w:lastRenderedPageBreak/>
        <w:t>is one of the techniques used to identify specific entities in text, such as locations and organizations, which is helpful in natural language processing tasks</w:t>
      </w:r>
      <w:r>
        <w:rPr>
          <w:lang w:val="id-ID"/>
        </w:rPr>
        <w:t xml:space="preserve"> </w:t>
      </w:r>
      <w:r w:rsidR="001C57FA">
        <w:rPr>
          <w:lang w:val="id-ID"/>
        </w:rPr>
        <w:fldChar w:fldCharType="begin" w:fldLock="1"/>
      </w:r>
      <w:r w:rsidR="001C57FA">
        <w:rPr>
          <w:lang w:val="id-ID"/>
        </w:rPr>
        <w:instrText>ADDIN CSL_CITATION {"citationItems":[{"id":"ITEM-1","itemData":{"DOI":"10.1109/ICACSIS51025.2020.9263157","author":[{"dropping-particle":"","family":"Qadri Nuranti","given":"Eka","non-dropping-particle":"","parse-names":false,"suffix":""},{"dropping-particle":"","family":"Yulianti","given":"Evi","non-dropping-particle":"","parse-names":false,"suffix":""}],"container-title":"2020 International Conference on Advanced Computer Science and Information Systems (ICACSIS)","id":"ITEM-1","issued":{"date-parts":[["2020"]]},"title":"Legal Entity Recognition in Indonesian Court Decision Documents Using Bi-LSTM and CRF Approaches","type":"article-journal"},"uris":["http://www.mendeley.com/documents/?uuid=6298f7a3-ed77-4cdd-9d27-99c818a59864"]}],"mendeley":{"formattedCitation":"[4]","plainTextFormattedCitation":"[4]","previouslyFormattedCitation":"[4]"},"properties":{"noteIndex":0},"schema":"https://github.com/citation-style-language/schema/raw/master/csl-citation.json"}</w:instrText>
      </w:r>
      <w:r w:rsidR="001C57FA">
        <w:rPr>
          <w:lang w:val="id-ID"/>
        </w:rPr>
        <w:fldChar w:fldCharType="separate"/>
      </w:r>
      <w:r w:rsidR="001C57FA" w:rsidRPr="001C57FA">
        <w:rPr>
          <w:noProof/>
          <w:lang w:val="id-ID"/>
        </w:rPr>
        <w:t>[4]</w:t>
      </w:r>
      <w:r w:rsidR="001C57FA">
        <w:rPr>
          <w:lang w:val="id-ID"/>
        </w:rPr>
        <w:fldChar w:fldCharType="end"/>
      </w:r>
      <w:r w:rsidR="00E97A1D" w:rsidRPr="00E97A1D">
        <w:rPr>
          <w:lang w:val="id-ID"/>
        </w:rPr>
        <w:t>.</w:t>
      </w:r>
    </w:p>
    <w:p w14:paraId="5A7AA193" w14:textId="77777777" w:rsidR="00E97A1D" w:rsidRPr="00E97A1D" w:rsidRDefault="00E97A1D" w:rsidP="00E97A1D">
      <w:pPr>
        <w:ind w:firstLine="720"/>
        <w:jc w:val="both"/>
        <w:rPr>
          <w:lang w:val="id-ID"/>
        </w:rPr>
      </w:pPr>
    </w:p>
    <w:p w14:paraId="01B08C88" w14:textId="33BBDDE4" w:rsidR="00E619D6" w:rsidRPr="001C57FA" w:rsidRDefault="007930BF" w:rsidP="001C57FA">
      <w:pPr>
        <w:ind w:firstLine="720"/>
        <w:jc w:val="both"/>
        <w:rPr>
          <w:lang w:val="id-ID"/>
        </w:rPr>
      </w:pPr>
      <w:r w:rsidRPr="007930BF">
        <w:rPr>
          <w:lang w:val="id-ID"/>
        </w:rPr>
        <w:t>Currently, the application of NER for legal documents in Indonesia is still limited. Previous research shows that Transformer-based models such as BERT, which have been successfully applied in various NLP tasks, have the potential to improve NER performance in the context of Indonesian legal documents</w:t>
      </w:r>
      <w:r w:rsidR="00E97A1D" w:rsidRPr="00E97A1D">
        <w:rPr>
          <w:lang w:val="id-ID"/>
        </w:rPr>
        <w:t xml:space="preserve"> </w:t>
      </w:r>
      <w:r w:rsidR="001C57FA">
        <w:rPr>
          <w:lang w:val="id-ID"/>
        </w:rPr>
        <w:fldChar w:fldCharType="begin" w:fldLock="1"/>
      </w:r>
      <w:r w:rsidR="001C57FA">
        <w:rPr>
          <w:lang w:val="id-ID"/>
        </w:rPr>
        <w:instrText>ADDIN CSL_CITATION {"citationItems":[{"id":"ITEM-1","itemData":{"DOI":"10.1080/13658816.2022.2133125","ISSN":"13623087","abstract":"Place names embedded in online natural language text present a useful source of geographic information. Despite this, many methods for the extraction of place names from text use pre-trained models that were not explicitly designed for this task. Our paper builds five custom-built Named Entity Recognition (NER) models and evaluates them against three popular pre-built models for place name extraction. The models are evaluated using a set of manually annotated Wikipedia articles with reference to the F1 score metric. Our best performing model achieves an F1 score of 0.939 compared with 0.730 for the best performing pre-built model. Our model is then used to extract all place names from Wikipedia articles in Great Britain, demonstrating the ability to more accurately capture unknown place names from volunteered sources of online geographic information.","author":[{"dropping-particle":"","family":"Berragan","given":"Cillian","non-dropping-particle":"","parse-names":false,"suffix":""},{"dropping-particle":"","family":"Singleton","given":"Alex","non-dropping-particle":"","parse-names":false,"suffix":""},{"dropping-particle":"","family":"Calafiore","given":"Alessia","non-dropping-particle":"","parse-names":false,"suffix":""},{"dropping-particle":"","family":"Morley","given":"Jeremy","non-dropping-particle":"","parse-names":false,"suffix":""}],"container-title":"International Journal of Geographical Information Science","id":"ITEM-1","issue":"4","issued":{"date-parts":[["2023"]]},"page":"747-766","publisher":"Taylor &amp; Francis","title":"Transformer based named entity recognition for place name extraction from unstructured text","type":"article-journal","volume":"37"},"uris":["http://www.mendeley.com/documents/?uuid=3050754c-4647-4aae-a7ad-7cdd8478c4f0"]}],"mendeley":{"formattedCitation":"[5]","plainTextFormattedCitation":"[5]","previouslyFormattedCitation":"[5]"},"properties":{"noteIndex":0},"schema":"https://github.com/citation-style-language/schema/raw/master/csl-citation.json"}</w:instrText>
      </w:r>
      <w:r w:rsidR="001C57FA">
        <w:rPr>
          <w:lang w:val="id-ID"/>
        </w:rPr>
        <w:fldChar w:fldCharType="separate"/>
      </w:r>
      <w:r w:rsidR="001C57FA" w:rsidRPr="001C57FA">
        <w:rPr>
          <w:noProof/>
          <w:lang w:val="id-ID"/>
        </w:rPr>
        <w:t>[5]</w:t>
      </w:r>
      <w:r w:rsidR="001C57FA">
        <w:rPr>
          <w:lang w:val="id-ID"/>
        </w:rPr>
        <w:fldChar w:fldCharType="end"/>
      </w:r>
      <w:r w:rsidR="001C57FA">
        <w:rPr>
          <w:lang w:val="id-ID"/>
        </w:rPr>
        <w:fldChar w:fldCharType="begin" w:fldLock="1"/>
      </w:r>
      <w:r w:rsidR="001C57FA">
        <w:rPr>
          <w:lang w:val="id-ID"/>
        </w:rPr>
        <w:instrText>ADDIN CSL_CITATION {"citationItems":[{"id":"ITEM-1","itemData":{"DOI":"10.1016/j.jbi.2021.103799","ISSN":"15320464","PMID":"33965638","abstract":"Recognition of biomedical entities from literature is a challenging research focus, which is the foundation for extracting a large amount of biomedical knowledge existing in unstructured texts into structured formats. Using the sequence labeling framework to implement biomedical named entity recognition (BioNER) is currently a conventional method. This method, however, often cannot take full advantage of the semantic information in the dataset, and the performance is not always satisfactory. In this work, instead of treating the BioNER task as a sequence labeling problem, we formulate it as a machine reading comprehension (MRC) problem. This formulation can introduce more prior knowledge utilizing well-designed queries, and no longer need decoding processes such as conditional random fields (CRF). We conduct experiments on six BioNER datasets, and the experimental results demonstrate the effectiveness of our method. Our method achieves state-of-the-art (SOTA) performance on the BC4CHEMD, BC5CDR-Chem, BC5CDR-Disease, NCBI-Disease, BC2GM and JNLPBA datasets, achieving F1-scores of 92.92%, 94.19%, 87.83%, 90.04%, 85.48% and 78.93%, respectively.","author":[{"dropping-particle":"","family":"Sun","given":"Cong","non-dropping-particle":"","parse-names":false,"suffix":""},{"dropping-particle":"","family":"Yang","given":"Zhihao","non-dropping-particle":"","parse-names":false,"suffix":""},{"dropping-particle":"","family":"Wang","given":"Lei","non-dropping-particle":"","parse-names":false,"suffix":""},{"dropping-particle":"","family":"Zhang","given":"Yin","non-dropping-particle":"","parse-names":false,"suffix":""},{"dropping-particle":"","family":"Lin","given":"Hongfei","non-dropping-particle":"","parse-names":false,"suffix":""},{"dropping-particle":"","family":"Wang","given":"Jian","non-dropping-particle":"","parse-names":false,"suffix":""}],"container-title":"Journal of Biomedical Informatics","id":"ITEM-1","issue":"April","issued":{"date-parts":[["2021"]]},"page":"103799","publisher":"Elsevier Inc.","title":"Biomedical named entity recognition using BERT in the machine reading comprehension framework","type":"article-journal","volume":"118"},"uris":["http://www.mendeley.com/documents/?uuid=23adc880-1ee4-4a3a-aace-3b89e45384a4"]}],"mendeley":{"formattedCitation":"[6]","plainTextFormattedCitation":"[6]"},"properties":{"noteIndex":0},"schema":"https://github.com/citation-style-language/schema/raw/master/csl-citation.json"}</w:instrText>
      </w:r>
      <w:r w:rsidR="001C57FA">
        <w:rPr>
          <w:lang w:val="id-ID"/>
        </w:rPr>
        <w:fldChar w:fldCharType="separate"/>
      </w:r>
      <w:r w:rsidR="001C57FA" w:rsidRPr="001C57FA">
        <w:rPr>
          <w:noProof/>
          <w:lang w:val="id-ID"/>
        </w:rPr>
        <w:t>[6]</w:t>
      </w:r>
      <w:r w:rsidR="001C57FA">
        <w:rPr>
          <w:lang w:val="id-ID"/>
        </w:rPr>
        <w:fldChar w:fldCharType="end"/>
      </w:r>
      <w:r w:rsidR="00E97A1D" w:rsidRPr="00E97A1D">
        <w:rPr>
          <w:lang w:val="id-ID"/>
        </w:rPr>
        <w:t xml:space="preserve">. </w:t>
      </w:r>
      <w:bookmarkEnd w:id="0"/>
      <w:bookmarkEnd w:id="1"/>
      <w:r w:rsidRPr="007930BF">
        <w:rPr>
          <w:lang w:val="id-ID"/>
        </w:rPr>
        <w:t>This research proposes the use of BERT models that have been trained with the Indonesian language to improve the accuracy and efficiency of information extraction from Indonesian legal decision documents.</w:t>
      </w:r>
    </w:p>
    <w:p w14:paraId="6D0BF8E6" w14:textId="77777777" w:rsidR="00E619D6" w:rsidRPr="003D6B19" w:rsidRDefault="00E619D6" w:rsidP="00E619D6">
      <w:pPr>
        <w:jc w:val="both"/>
      </w:pPr>
    </w:p>
    <w:p w14:paraId="7F5871EF" w14:textId="5C26292D" w:rsidR="00E619D6" w:rsidRPr="003D6B19" w:rsidRDefault="00E619D6"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(10 PT)</w:t>
      </w:r>
    </w:p>
    <w:p w14:paraId="65E74DD3" w14:textId="272C8F55" w:rsidR="002A2763" w:rsidRDefault="00E00E6E" w:rsidP="003B528F">
      <w:pPr>
        <w:ind w:firstLine="720"/>
        <w:jc w:val="both"/>
        <w:rPr>
          <w:lang w:val="id-ID"/>
        </w:rPr>
      </w:pPr>
      <w:bookmarkStart w:id="2" w:name="_Hlk78354310"/>
      <w:r w:rsidRPr="00E00E6E">
        <w:rPr>
          <w:lang w:val="id-ID"/>
        </w:rPr>
        <w:t>This research uses a Deep Learning-based approach with the Transformer model, specifically BERT, for entity extraction from Indonesian legal decision documents. The research process involves several stages which are illustrated in</w:t>
      </w:r>
      <w:r w:rsidR="003B528F" w:rsidRPr="003B528F">
        <w:rPr>
          <w:lang w:val="id-ID"/>
        </w:rPr>
        <w:t xml:space="preserve"> </w:t>
      </w:r>
      <w:r w:rsidR="003B528F" w:rsidRPr="003B528F">
        <w:rPr>
          <w:lang w:val="id-ID"/>
        </w:rPr>
        <w:fldChar w:fldCharType="begin"/>
      </w:r>
      <w:r w:rsidR="003B528F" w:rsidRPr="003B528F">
        <w:rPr>
          <w:lang w:val="id-ID"/>
        </w:rPr>
        <w:instrText xml:space="preserve"> REF _Ref175144471 \h </w:instrText>
      </w:r>
      <w:r w:rsidR="003B528F" w:rsidRPr="003B528F">
        <w:rPr>
          <w:lang w:val="id-ID"/>
        </w:rPr>
      </w:r>
      <w:r w:rsidR="003B528F" w:rsidRPr="003B528F">
        <w:rPr>
          <w:lang w:val="id-ID"/>
        </w:rPr>
        <w:instrText xml:space="preserve"> \* MERGEFORMAT </w:instrText>
      </w:r>
      <w:r w:rsidR="003B528F" w:rsidRPr="003B528F">
        <w:rPr>
          <w:lang w:val="id-ID"/>
        </w:rPr>
        <w:fldChar w:fldCharType="separate"/>
      </w:r>
      <w:r w:rsidR="003B528F" w:rsidRPr="003B528F">
        <w:t xml:space="preserve">Figure </w:t>
      </w:r>
      <w:r w:rsidR="003B528F" w:rsidRPr="003B528F">
        <w:rPr>
          <w:noProof/>
        </w:rPr>
        <w:t>1</w:t>
      </w:r>
      <w:r w:rsidR="003B528F" w:rsidRPr="003B528F">
        <w:rPr>
          <w:lang w:val="id-ID"/>
        </w:rPr>
        <w:fldChar w:fldCharType="end"/>
      </w:r>
      <w:r w:rsidR="003B528F" w:rsidRPr="003B528F">
        <w:rPr>
          <w:lang w:val="id-ID"/>
        </w:rPr>
        <w:t>.</w:t>
      </w:r>
      <w:r w:rsidR="003B528F">
        <w:rPr>
          <w:lang w:val="id-ID"/>
        </w:rPr>
        <w:t xml:space="preserve"> </w:t>
      </w:r>
    </w:p>
    <w:p w14:paraId="341C88FF" w14:textId="77777777" w:rsidR="002A2763" w:rsidRDefault="002A2763" w:rsidP="002A2763">
      <w:pPr>
        <w:jc w:val="both"/>
        <w:rPr>
          <w:lang w:val="id-ID"/>
        </w:rPr>
      </w:pPr>
    </w:p>
    <w:p w14:paraId="2A94936D" w14:textId="52EF9EAD" w:rsidR="003B528F" w:rsidRDefault="00E00E6E" w:rsidP="002A2763">
      <w:pPr>
        <w:jc w:val="both"/>
        <w:rPr>
          <w:lang w:val="id-ID"/>
        </w:rPr>
      </w:pPr>
      <w:r w:rsidRPr="00E00E6E">
        <w:rPr>
          <w:lang w:val="id-ID"/>
        </w:rPr>
        <w:t>The main stages in the research process include:</w:t>
      </w:r>
    </w:p>
    <w:p w14:paraId="67034135" w14:textId="32DCA13B" w:rsidR="003B528F" w:rsidRPr="002A2763" w:rsidRDefault="00E00E6E" w:rsidP="003B528F">
      <w:pPr>
        <w:pStyle w:val="ListParagraph"/>
        <w:numPr>
          <w:ilvl w:val="0"/>
          <w:numId w:val="23"/>
        </w:numPr>
        <w:ind w:left="364"/>
        <w:jc w:val="both"/>
        <w:rPr>
          <w:rFonts w:ascii="Times New Roman" w:hAnsi="Times New Roman"/>
          <w:sz w:val="20"/>
          <w:szCs w:val="20"/>
          <w:lang w:val="id-ID"/>
        </w:rPr>
      </w:pPr>
      <w:r w:rsidRPr="00E00E6E">
        <w:rPr>
          <w:rFonts w:ascii="Times New Roman" w:hAnsi="Times New Roman"/>
          <w:b/>
          <w:bCs/>
          <w:sz w:val="20"/>
          <w:szCs w:val="20"/>
          <w:lang w:val="id-ID"/>
        </w:rPr>
        <w:t>Data Scraping</w:t>
      </w:r>
      <w:r w:rsidRPr="00E00E6E">
        <w:rPr>
          <w:rFonts w:ascii="Times New Roman" w:hAnsi="Times New Roman"/>
          <w:sz w:val="20"/>
          <w:szCs w:val="20"/>
          <w:lang w:val="id-ID"/>
        </w:rPr>
        <w:t>: Legal judgment documents were collected from relevant sources through web scraping techniques and converted from PDF format to text that could be further processed. This process ensures that the retrieved data includes the documents required for analysis</w:t>
      </w:r>
      <w:r w:rsidR="003B528F" w:rsidRPr="002A2763">
        <w:rPr>
          <w:rFonts w:ascii="Times New Roman" w:hAnsi="Times New Roman"/>
          <w:sz w:val="20"/>
          <w:szCs w:val="20"/>
          <w:lang w:val="id-ID"/>
        </w:rPr>
        <w:t>.</w:t>
      </w:r>
    </w:p>
    <w:p w14:paraId="45FF48AC" w14:textId="308B3D62" w:rsidR="003B528F" w:rsidRDefault="00E00E6E" w:rsidP="003B528F">
      <w:pPr>
        <w:pStyle w:val="ListParagraph"/>
        <w:numPr>
          <w:ilvl w:val="0"/>
          <w:numId w:val="23"/>
        </w:numPr>
        <w:ind w:left="364"/>
        <w:jc w:val="both"/>
        <w:rPr>
          <w:rFonts w:ascii="Times New Roman" w:hAnsi="Times New Roman"/>
          <w:sz w:val="20"/>
          <w:szCs w:val="20"/>
          <w:lang w:val="id-ID"/>
        </w:rPr>
      </w:pPr>
      <w:r w:rsidRPr="00E00E6E">
        <w:rPr>
          <w:rFonts w:ascii="Times New Roman" w:hAnsi="Times New Roman"/>
          <w:b/>
          <w:bCs/>
          <w:sz w:val="20"/>
          <w:szCs w:val="20"/>
          <w:lang w:val="id-ID"/>
        </w:rPr>
        <w:t>Pre-processing</w:t>
      </w:r>
      <w:r w:rsidRPr="00E00E6E">
        <w:rPr>
          <w:rFonts w:ascii="Times New Roman" w:hAnsi="Times New Roman"/>
          <w:sz w:val="20"/>
          <w:szCs w:val="20"/>
          <w:lang w:val="id-ID"/>
        </w:rPr>
        <w:t>: The collected text data was cleaned of unnecessary elements, such as special characters and inconsistent formatting. This step aims to prepare the data in a clean and consistent format, facilitating subsequent processing</w:t>
      </w:r>
      <w:r w:rsidR="003B528F" w:rsidRPr="002A2763">
        <w:rPr>
          <w:rFonts w:ascii="Times New Roman" w:hAnsi="Times New Roman"/>
          <w:sz w:val="20"/>
          <w:szCs w:val="20"/>
          <w:lang w:val="id-ID"/>
        </w:rPr>
        <w:t>.</w:t>
      </w:r>
    </w:p>
    <w:p w14:paraId="54FB7D9D" w14:textId="7392C224" w:rsidR="002A2763" w:rsidRPr="002A2763" w:rsidRDefault="00E00E6E" w:rsidP="003B528F">
      <w:pPr>
        <w:pStyle w:val="ListParagraph"/>
        <w:numPr>
          <w:ilvl w:val="0"/>
          <w:numId w:val="23"/>
        </w:numPr>
        <w:ind w:left="364"/>
        <w:jc w:val="both"/>
        <w:rPr>
          <w:rFonts w:ascii="Times New Roman" w:hAnsi="Times New Roman"/>
          <w:sz w:val="20"/>
          <w:szCs w:val="20"/>
          <w:lang w:val="id-ID"/>
        </w:rPr>
      </w:pPr>
      <w:r w:rsidRPr="00E00E6E">
        <w:rPr>
          <w:rFonts w:ascii="Times New Roman" w:hAnsi="Times New Roman"/>
          <w:b/>
          <w:bCs/>
          <w:sz w:val="20"/>
          <w:szCs w:val="20"/>
          <w:lang w:val="id-ID"/>
        </w:rPr>
        <w:t>Data Annotation</w:t>
      </w:r>
      <w:r w:rsidRPr="00E00E6E">
        <w:rPr>
          <w:rFonts w:ascii="Times New Roman" w:hAnsi="Times New Roman"/>
          <w:sz w:val="20"/>
          <w:szCs w:val="20"/>
          <w:lang w:val="id-ID"/>
        </w:rPr>
        <w:t>: The processed text data is labeled according to the entities to be extracted. This annotation process involves tagging entities such as decision number, defendant's name, and others according to the research criteria</w:t>
      </w:r>
      <w:r w:rsidR="002A2763" w:rsidRPr="002A2763">
        <w:rPr>
          <w:rFonts w:ascii="Times New Roman" w:hAnsi="Times New Roman"/>
          <w:sz w:val="20"/>
          <w:szCs w:val="20"/>
          <w:lang w:val="id-ID"/>
        </w:rPr>
        <w:t>.</w:t>
      </w:r>
    </w:p>
    <w:p w14:paraId="03D3F4A2" w14:textId="64E4924E" w:rsidR="003B528F" w:rsidRPr="002A2763" w:rsidRDefault="003B528F" w:rsidP="003B528F">
      <w:pPr>
        <w:pStyle w:val="ListParagraph"/>
        <w:numPr>
          <w:ilvl w:val="0"/>
          <w:numId w:val="23"/>
        </w:numPr>
        <w:ind w:left="364"/>
        <w:jc w:val="both"/>
        <w:rPr>
          <w:rFonts w:ascii="Times New Roman" w:hAnsi="Times New Roman"/>
          <w:sz w:val="20"/>
          <w:szCs w:val="20"/>
          <w:lang w:val="id-ID"/>
        </w:rPr>
      </w:pPr>
      <w:r w:rsidRPr="002A2763">
        <w:rPr>
          <w:rFonts w:ascii="Times New Roman" w:hAnsi="Times New Roman"/>
          <w:sz w:val="20"/>
          <w:szCs w:val="20"/>
          <w:lang w:val="id-ID"/>
        </w:rPr>
        <w:t xml:space="preserve">Pelatihan Model: </w:t>
      </w:r>
      <w:r w:rsidR="00E00E6E" w:rsidRPr="00E00E6E">
        <w:rPr>
          <w:rFonts w:ascii="Times New Roman" w:hAnsi="Times New Roman"/>
          <w:sz w:val="20"/>
          <w:szCs w:val="20"/>
          <w:lang w:val="id-ID"/>
        </w:rPr>
        <w:t>Model pre-trained BERT, yaitu Indolem/indobert-base-uncased dan Indobenchmark/indobert-base-p2, dilatih lebih lanjut pada dataset yang telah dianotasi. Proses ini melibatkan fine-tuning untuk meningkatkan kemampuan model dalam mengenali dan mengekstraksi entitas hukum dari dokumen putusan.</w:t>
      </w:r>
    </w:p>
    <w:p w14:paraId="592DF5B7" w14:textId="20002FEB" w:rsidR="003B528F" w:rsidRPr="002A2763" w:rsidRDefault="003B528F" w:rsidP="002A2763">
      <w:pPr>
        <w:pStyle w:val="ListParagraph"/>
        <w:numPr>
          <w:ilvl w:val="0"/>
          <w:numId w:val="23"/>
        </w:numPr>
        <w:ind w:left="364"/>
        <w:jc w:val="both"/>
        <w:rPr>
          <w:rFonts w:ascii="Times New Roman" w:hAnsi="Times New Roman"/>
          <w:sz w:val="20"/>
          <w:szCs w:val="20"/>
          <w:lang w:val="id-ID"/>
        </w:rPr>
      </w:pPr>
      <w:r w:rsidRPr="002A2763">
        <w:rPr>
          <w:rFonts w:ascii="Times New Roman" w:hAnsi="Times New Roman"/>
          <w:sz w:val="20"/>
          <w:szCs w:val="20"/>
          <w:lang w:val="id-ID"/>
        </w:rPr>
        <w:t xml:space="preserve">Evaluasi: </w:t>
      </w:r>
      <w:r w:rsidR="00E00E6E" w:rsidRPr="00E00E6E">
        <w:rPr>
          <w:rFonts w:ascii="Times New Roman" w:hAnsi="Times New Roman"/>
          <w:sz w:val="20"/>
          <w:szCs w:val="20"/>
          <w:lang w:val="id-ID"/>
        </w:rPr>
        <w:t>Kinerja model dievaluasi menggunakan metrik seperti Precision, Recall, dan F1-Score. Evaluasi dilakukan pada dataset uji yang terdiri dari 20% dari total data untuk menilai efektivitas ekstraksi entitas dan menentukan model terbaik.</w:t>
      </w:r>
    </w:p>
    <w:p w14:paraId="1CFB285D" w14:textId="77777777" w:rsidR="003864A3" w:rsidRPr="003D6B19" w:rsidRDefault="003864A3" w:rsidP="003864A3">
      <w:pPr>
        <w:jc w:val="center"/>
        <w:rPr>
          <w:lang w:val="id-ID"/>
        </w:rPr>
      </w:pPr>
      <w:r w:rsidRPr="008551C0">
        <w:rPr>
          <w:noProof/>
        </w:rPr>
        <w:drawing>
          <wp:inline distT="0" distB="0" distL="0" distR="0" wp14:anchorId="6D93BC4D" wp14:editId="409F905B">
            <wp:extent cx="4176742" cy="3371353"/>
            <wp:effectExtent l="0" t="0" r="0" b="635"/>
            <wp:docPr id="6" name="Picture 6"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syste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183230" cy="3376590"/>
                    </a:xfrm>
                    <a:prstGeom prst="rect">
                      <a:avLst/>
                    </a:prstGeom>
                    <a:noFill/>
                    <a:ln>
                      <a:noFill/>
                    </a:ln>
                  </pic:spPr>
                </pic:pic>
              </a:graphicData>
            </a:graphic>
          </wp:inline>
        </w:drawing>
      </w:r>
    </w:p>
    <w:p w14:paraId="4DF722B4" w14:textId="77B082FD" w:rsidR="003864A3" w:rsidRDefault="003864A3" w:rsidP="003B528F">
      <w:pPr>
        <w:pStyle w:val="Caption"/>
        <w:rPr>
          <w:i w:val="0"/>
          <w:iCs w:val="0"/>
          <w:noProof/>
        </w:rPr>
      </w:pPr>
      <w:bookmarkStart w:id="3" w:name="_Ref175144471"/>
      <w:r w:rsidRPr="003864A3">
        <w:rPr>
          <w:i w:val="0"/>
          <w:iCs w:val="0"/>
        </w:rPr>
        <w:t xml:space="preserve">Figure </w:t>
      </w:r>
      <w:r w:rsidRPr="003864A3">
        <w:rPr>
          <w:i w:val="0"/>
          <w:iCs w:val="0"/>
        </w:rPr>
        <w:fldChar w:fldCharType="begin"/>
      </w:r>
      <w:r w:rsidRPr="003864A3">
        <w:rPr>
          <w:i w:val="0"/>
          <w:iCs w:val="0"/>
        </w:rPr>
        <w:instrText xml:space="preserve"> SEQ Figure \* ARABIC </w:instrText>
      </w:r>
      <w:r w:rsidRPr="003864A3">
        <w:rPr>
          <w:i w:val="0"/>
          <w:iCs w:val="0"/>
        </w:rPr>
        <w:fldChar w:fldCharType="separate"/>
      </w:r>
      <w:r w:rsidRPr="003864A3">
        <w:rPr>
          <w:i w:val="0"/>
          <w:iCs w:val="0"/>
          <w:noProof/>
        </w:rPr>
        <w:t>1</w:t>
      </w:r>
      <w:r w:rsidRPr="003864A3">
        <w:rPr>
          <w:i w:val="0"/>
          <w:iCs w:val="0"/>
        </w:rPr>
        <w:fldChar w:fldCharType="end"/>
      </w:r>
      <w:bookmarkEnd w:id="3"/>
      <w:r>
        <w:rPr>
          <w:i w:val="0"/>
          <w:iCs w:val="0"/>
        </w:rPr>
        <w:t>.</w:t>
      </w:r>
      <w:r w:rsidRPr="003864A3">
        <w:rPr>
          <w:i w:val="0"/>
          <w:iCs w:val="0"/>
          <w:noProof/>
        </w:rPr>
        <w:t xml:space="preserve"> Arsitektur Sistem</w:t>
      </w:r>
    </w:p>
    <w:p w14:paraId="1F456C53" w14:textId="106B284B" w:rsidR="002A2763" w:rsidRPr="002A2763" w:rsidRDefault="002A2763" w:rsidP="002A2763">
      <w:r>
        <w:lastRenderedPageBreak/>
        <w:t xml:space="preserve">Gambar </w:t>
      </w:r>
      <w:r w:rsidRPr="002A2763">
        <w:fldChar w:fldCharType="begin"/>
      </w:r>
      <w:r w:rsidRPr="002A2763">
        <w:instrText xml:space="preserve"> REF _Ref175144471 \h </w:instrText>
      </w:r>
      <w:r w:rsidRPr="002A2763">
        <w:instrText xml:space="preserve"> \* MERGEFORMAT </w:instrText>
      </w:r>
      <w:r w:rsidRPr="002A2763">
        <w:fldChar w:fldCharType="separate"/>
      </w:r>
      <w:r w:rsidRPr="002A2763">
        <w:t xml:space="preserve">Figure </w:t>
      </w:r>
      <w:r w:rsidRPr="002A2763">
        <w:rPr>
          <w:noProof/>
        </w:rPr>
        <w:t>1</w:t>
      </w:r>
      <w:r w:rsidRPr="002A2763">
        <w:fldChar w:fldCharType="end"/>
      </w:r>
      <w:r>
        <w:t xml:space="preserve"> di </w:t>
      </w:r>
      <w:proofErr w:type="spellStart"/>
      <w:r>
        <w:t>bawah</w:t>
      </w:r>
      <w:proofErr w:type="spellEnd"/>
      <w:r>
        <w:t xml:space="preserve"> </w:t>
      </w:r>
      <w:proofErr w:type="spellStart"/>
      <w:r>
        <w:t>ini</w:t>
      </w:r>
      <w:proofErr w:type="spellEnd"/>
      <w:r>
        <w:t xml:space="preserve"> </w:t>
      </w:r>
      <w:proofErr w:type="spellStart"/>
      <w:r>
        <w:t>menggambarkan</w:t>
      </w:r>
      <w:proofErr w:type="spellEnd"/>
      <w:r>
        <w:t xml:space="preserve"> </w:t>
      </w:r>
      <w:proofErr w:type="spellStart"/>
      <w:r>
        <w:t>arsitektur</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keseluruhan</w:t>
      </w:r>
      <w:proofErr w:type="spellEnd"/>
      <w:r>
        <w:t xml:space="preserve"> dan </w:t>
      </w:r>
      <w:proofErr w:type="spellStart"/>
      <w:r>
        <w:t>bagaimana</w:t>
      </w:r>
      <w:proofErr w:type="spellEnd"/>
      <w:r>
        <w:t xml:space="preserve"> </w:t>
      </w:r>
      <w:proofErr w:type="spellStart"/>
      <w:r>
        <w:t>tahapan-tahapan</w:t>
      </w:r>
      <w:proofErr w:type="spellEnd"/>
      <w:r>
        <w:t xml:space="preserve"> </w:t>
      </w:r>
      <w:proofErr w:type="spellStart"/>
      <w:r>
        <w:t>ini</w:t>
      </w:r>
      <w:proofErr w:type="spellEnd"/>
      <w:r>
        <w:t xml:space="preserve"> </w:t>
      </w:r>
      <w:proofErr w:type="spellStart"/>
      <w:r>
        <w:t>saling</w:t>
      </w:r>
      <w:proofErr w:type="spellEnd"/>
      <w:r>
        <w:t xml:space="preserve"> </w:t>
      </w:r>
      <w:proofErr w:type="spellStart"/>
      <w:r>
        <w:t>berinteraksi</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hasil</w:t>
      </w:r>
      <w:proofErr w:type="spellEnd"/>
      <w:r>
        <w:t xml:space="preserve"> </w:t>
      </w:r>
      <w:proofErr w:type="spellStart"/>
      <w:r>
        <w:t>penelitian</w:t>
      </w:r>
      <w:proofErr w:type="spellEnd"/>
      <w:r>
        <w:t>.</w:t>
      </w:r>
    </w:p>
    <w:p w14:paraId="09B4A963" w14:textId="72E84EA4" w:rsidR="0028253E" w:rsidRDefault="00FA6A7D" w:rsidP="0028253E">
      <w:pPr>
        <w:pStyle w:val="ListParagraph"/>
        <w:numPr>
          <w:ilvl w:val="1"/>
          <w:numId w:val="15"/>
        </w:numPr>
        <w:spacing w:after="0"/>
        <w:ind w:left="350"/>
        <w:jc w:val="both"/>
        <w:rPr>
          <w:b/>
          <w:bCs/>
          <w:lang w:val="id-ID"/>
        </w:rPr>
      </w:pPr>
      <w:r>
        <w:rPr>
          <w:b/>
          <w:bCs/>
          <w:lang w:val="id-ID"/>
        </w:rPr>
        <w:t>Data Collection</w:t>
      </w:r>
    </w:p>
    <w:p w14:paraId="546BCC61" w14:textId="09920562" w:rsidR="003B528F" w:rsidRPr="0028253E" w:rsidRDefault="007930BF" w:rsidP="007930BF">
      <w:pPr>
        <w:ind w:firstLine="720"/>
        <w:jc w:val="both"/>
        <w:rPr>
          <w:lang w:val="id-ID"/>
        </w:rPr>
      </w:pPr>
      <w:r w:rsidRPr="007930BF">
        <w:rPr>
          <w:lang w:val="id-ID"/>
        </w:rPr>
        <w:t>Penelitian ini menggunakan dokumen putusan pidana dalam bahasa Indonesia sebagai objek analisis. Sebanyak 1.000 dokumen putusan pidana yang diambil dari tahun 2002 hingga 2019 digunakan sebagai sampel dalam penelitian ini. Data diambil melalui teknik web scraping dari Direktori Putusan Mahkamah Agung RI dan dikonversi ke format teks yang dapat diproses lebih lanjut. Entitas yang akan diekstraksi mencakup 12 jenis entitas, yaitu nomor putusan, nama terdakwa, tindak pidana, pelanggaran hukum, tuntutan hukum, putusan hukum, tanggal putusan, hakim ketua, hakim anggota, panitera, penuntut umum, dan penasihat.</w:t>
      </w:r>
    </w:p>
    <w:p w14:paraId="2B0C6AD5" w14:textId="18CE2CB0" w:rsidR="0028253E" w:rsidRDefault="0028253E" w:rsidP="0028253E">
      <w:pPr>
        <w:pStyle w:val="ListParagraph"/>
        <w:numPr>
          <w:ilvl w:val="1"/>
          <w:numId w:val="15"/>
        </w:numPr>
        <w:spacing w:after="0"/>
        <w:ind w:left="350"/>
        <w:jc w:val="both"/>
        <w:rPr>
          <w:b/>
          <w:bCs/>
          <w:lang w:val="id-ID"/>
        </w:rPr>
      </w:pPr>
      <w:r>
        <w:rPr>
          <w:b/>
          <w:bCs/>
          <w:lang w:val="id-ID"/>
        </w:rPr>
        <w:t>Pre-Pprcessing</w:t>
      </w:r>
    </w:p>
    <w:p w14:paraId="36C8D2C4" w14:textId="183A3553" w:rsidR="0028253E" w:rsidRDefault="007930BF" w:rsidP="0028253E">
      <w:pPr>
        <w:ind w:left="-10" w:firstLine="730"/>
        <w:jc w:val="both"/>
        <w:rPr>
          <w:lang w:val="id-ID"/>
        </w:rPr>
      </w:pPr>
      <w:r w:rsidRPr="007930BF">
        <w:rPr>
          <w:lang w:val="id-ID"/>
        </w:rPr>
        <w:t>Proses pre-processing dilakukan untuk memastikan bahwa data yang digunakan dalam penelitian ini dalam kondisi yang siap untuk pemodelan. Tahapan pre-processing meliputi penghapusan karakter-karakter khusus, normalisasi teks, tokenisasi, dan pelabelan entitas sesuai dengan anotasi yang dibutuhkan. Setiap dokumen diuji untuk kesalahan format atau ketidakakuratan yang dapat mempengaruhi hasil Named Entity Recognition (NER)</w:t>
      </w:r>
      <w:r w:rsidR="0028253E" w:rsidRPr="0028253E">
        <w:rPr>
          <w:lang w:val="id-ID"/>
        </w:rPr>
        <w:t>.</w:t>
      </w:r>
    </w:p>
    <w:p w14:paraId="7BF0EBA2" w14:textId="77777777" w:rsidR="00FA6A7D" w:rsidRPr="0028253E" w:rsidRDefault="00FA6A7D" w:rsidP="00FA6A7D">
      <w:pPr>
        <w:jc w:val="both"/>
        <w:rPr>
          <w:lang w:val="id-ID"/>
        </w:rPr>
      </w:pPr>
    </w:p>
    <w:p w14:paraId="195DF823" w14:textId="1867262C" w:rsidR="003B528F" w:rsidRPr="00FA6A7D" w:rsidRDefault="0028253E" w:rsidP="00FA6A7D">
      <w:pPr>
        <w:pStyle w:val="ListParagraph"/>
        <w:numPr>
          <w:ilvl w:val="1"/>
          <w:numId w:val="15"/>
        </w:numPr>
        <w:spacing w:after="0"/>
        <w:ind w:left="350"/>
        <w:jc w:val="both"/>
        <w:rPr>
          <w:b/>
          <w:bCs/>
          <w:lang w:val="id-ID"/>
        </w:rPr>
      </w:pPr>
      <w:r>
        <w:rPr>
          <w:b/>
          <w:bCs/>
          <w:lang w:val="id-ID"/>
        </w:rPr>
        <w:t>Model Selection anda Trining</w:t>
      </w:r>
    </w:p>
    <w:p w14:paraId="124F0C51" w14:textId="00B249E2" w:rsidR="0028253E" w:rsidRDefault="007930BF" w:rsidP="0028253E">
      <w:pPr>
        <w:ind w:left="-10" w:firstLine="730"/>
        <w:jc w:val="both"/>
        <w:rPr>
          <w:lang w:val="id-ID"/>
        </w:rPr>
      </w:pPr>
      <w:r w:rsidRPr="007930BF">
        <w:rPr>
          <w:lang w:val="id-ID"/>
        </w:rPr>
        <w:t>Dua model pre-trained berbasis BERT yang telah dilatih dengan bahasa Indonesia digunakan dalam penelitian ini, yaitu Indolem/indobert-base-uncased dan Indobenchmark/indobert-base-p2. Kedua model ini dipilih karena telah dilatih menggunakan dua dataset besar yang dianggap sebagai tolok ukur dalam evaluasi pemrosesan bahasa alami bahasa Indonesia. Model-model tersebut diadaptasi untuk tugas Named Entity Recognition (NER) pada dokumen hukum</w:t>
      </w:r>
      <w:r w:rsidR="0028253E" w:rsidRPr="0028253E">
        <w:rPr>
          <w:lang w:val="id-ID"/>
        </w:rPr>
        <w:t>.</w:t>
      </w:r>
    </w:p>
    <w:p w14:paraId="5297FD15" w14:textId="77777777" w:rsidR="0028253E" w:rsidRDefault="0028253E" w:rsidP="0028253E">
      <w:pPr>
        <w:ind w:left="-10" w:firstLine="730"/>
        <w:jc w:val="both"/>
        <w:rPr>
          <w:lang w:val="id-ID"/>
        </w:rPr>
      </w:pPr>
    </w:p>
    <w:p w14:paraId="4E949F20" w14:textId="7D9830E0" w:rsidR="0028253E" w:rsidRDefault="0028253E" w:rsidP="0028253E">
      <w:pPr>
        <w:ind w:left="-10" w:firstLine="730"/>
        <w:jc w:val="both"/>
        <w:rPr>
          <w:lang w:val="id-ID"/>
        </w:rPr>
      </w:pPr>
      <w:r w:rsidRPr="0028253E">
        <w:rPr>
          <w:lang w:val="id-ID"/>
        </w:rPr>
        <w:t>Pelatihan model dilakukan dengan menggunakan dataset yang telah di-anotasi sesuai dengan 12 entitas yang telah ditentukan. Setiap model akan dilatih menggunakan teknik transfer learning untuk memanfaatkan kemampuan bahasa yang sudah ada dalam model pre-trained. Selain itu, proses fine-tuning dilakukan untuk menyesuaikan model dengan karakteristik spesifik dari data dokumen putusan hukum.</w:t>
      </w:r>
    </w:p>
    <w:p w14:paraId="04ED3A8A" w14:textId="77777777" w:rsidR="007930BF" w:rsidRPr="0028253E" w:rsidRDefault="007930BF" w:rsidP="007930BF">
      <w:pPr>
        <w:jc w:val="both"/>
        <w:rPr>
          <w:lang w:val="id-ID"/>
        </w:rPr>
      </w:pPr>
    </w:p>
    <w:p w14:paraId="509009AE" w14:textId="1BDBA651" w:rsidR="0028253E" w:rsidRDefault="0028253E" w:rsidP="0028253E">
      <w:pPr>
        <w:pStyle w:val="ListParagraph"/>
        <w:numPr>
          <w:ilvl w:val="1"/>
          <w:numId w:val="15"/>
        </w:numPr>
        <w:spacing w:after="0"/>
        <w:ind w:left="350"/>
        <w:jc w:val="both"/>
        <w:rPr>
          <w:b/>
          <w:bCs/>
          <w:lang w:val="id-ID"/>
        </w:rPr>
      </w:pPr>
      <w:r>
        <w:rPr>
          <w:b/>
          <w:bCs/>
          <w:lang w:val="id-ID"/>
        </w:rPr>
        <w:t>Model Evaluation</w:t>
      </w:r>
    </w:p>
    <w:p w14:paraId="21461C83" w14:textId="14E8682B" w:rsidR="0028253E" w:rsidRDefault="007930BF" w:rsidP="0028253E">
      <w:pPr>
        <w:ind w:left="-10" w:firstLine="730"/>
        <w:jc w:val="both"/>
        <w:rPr>
          <w:lang w:val="id-ID"/>
        </w:rPr>
      </w:pPr>
      <w:r w:rsidRPr="007930BF">
        <w:rPr>
          <w:lang w:val="id-ID"/>
        </w:rPr>
        <w:t>Setelah pelatihan, kedua model akan dievaluasi menggunakan metrik performa NER seperti Precision, Recall, dan F1-Score. Evaluasi dilakukan pada dataset uji yang terdiri dari 20% dari total data. Metrik tersebut akan digunakan untuk menentukan model mana yang memiliki performa terbaik dalam mengenali dan mengekstraksi entitas dari dokumen putusan hukum berbahasa Indonesia.</w:t>
      </w:r>
    </w:p>
    <w:p w14:paraId="0861D72B" w14:textId="77777777" w:rsidR="0028253E" w:rsidRPr="0028253E" w:rsidRDefault="0028253E" w:rsidP="0028253E">
      <w:pPr>
        <w:ind w:left="-10"/>
        <w:jc w:val="both"/>
        <w:rPr>
          <w:lang w:val="id-ID"/>
        </w:rPr>
      </w:pPr>
    </w:p>
    <w:p w14:paraId="1C216AD8" w14:textId="55BB81CF" w:rsidR="00684F04" w:rsidRPr="00684F04" w:rsidRDefault="00684F04" w:rsidP="00684F04">
      <w:pPr>
        <w:ind w:firstLine="720"/>
        <w:jc w:val="both"/>
        <w:rPr>
          <w:lang w:val="id-ID"/>
        </w:rPr>
      </w:pPr>
      <w:r w:rsidRPr="00684F04">
        <w:rPr>
          <w:lang w:val="id-ID"/>
        </w:rPr>
        <w:t>Penelitian ini dimulai dengan pengambilan data dari situs Direktori Putusan Mahkamah Agung RI melalui proses scraping. Data yang diperoleh kemudian diproses dan disiapkan untuk anotasi menggunakan alat seperti Doccano. Anotasi data dilakukan untuk membangun dataset berlabel yang dapat digunakan untuk melatih model. Selanjutnya, model BERT diterapkan dan dilatih menggunakan teknik 5-Fold Cross Validation untuk menghindari overfitting dan memasti</w:t>
      </w:r>
      <w:r w:rsidR="00C647D4">
        <w:rPr>
          <w:lang w:val="id-ID"/>
        </w:rPr>
        <w:t>kan generalisasi model yang baik</w:t>
      </w:r>
      <w:r w:rsidRPr="00684F04">
        <w:rPr>
          <w:lang w:val="id-ID"/>
        </w:rPr>
        <w:t>.</w:t>
      </w:r>
    </w:p>
    <w:p w14:paraId="490CADF2" w14:textId="77777777" w:rsidR="00684F04" w:rsidRPr="00684F04" w:rsidRDefault="00684F04" w:rsidP="00684F04">
      <w:pPr>
        <w:ind w:firstLine="720"/>
        <w:jc w:val="both"/>
        <w:rPr>
          <w:lang w:val="id-ID"/>
        </w:rPr>
      </w:pPr>
    </w:p>
    <w:p w14:paraId="0019F16A" w14:textId="5452A95F" w:rsidR="00354A58" w:rsidRPr="003D6B19" w:rsidRDefault="00684F04" w:rsidP="00684F04">
      <w:pPr>
        <w:ind w:firstLine="720"/>
        <w:jc w:val="both"/>
        <w:rPr>
          <w:lang w:val="id-ID"/>
        </w:rPr>
      </w:pPr>
      <w:r w:rsidRPr="00684F04">
        <w:rPr>
          <w:lang w:val="id-ID"/>
        </w:rPr>
        <w:t>Model yang digunakan dalam penelitian ini adalah Indolem/indobert-base-uncased dan Indobenchmark/indobert-base-p2, yang keduanya telah dilatih sebelumnya pada dataset IndoLEM dan IndoNLU</w:t>
      </w:r>
      <w:r w:rsidR="00C647D4">
        <w:rPr>
          <w:rFonts w:ascii="MS Gothic" w:eastAsia="MS Gothic" w:hAnsi="MS Gothic" w:cs="MS Gothic" w:hint="eastAsia"/>
          <w:lang w:val="id-ID"/>
        </w:rPr>
        <w:t xml:space="preserve"> </w:t>
      </w:r>
      <w:r w:rsidR="00C647D4" w:rsidRPr="00C647D4">
        <w:rPr>
          <w:lang w:val="id-ID"/>
        </w:rPr>
        <w:fldChar w:fldCharType="begin" w:fldLock="1"/>
      </w:r>
      <w:r w:rsidR="001C57FA">
        <w:rPr>
          <w:lang w:val="id-ID"/>
        </w:rPr>
        <w:instrText>ADDIN CSL_CITATION {"citationItems":[{"id":"ITEM-1","itemData":{"DOI":"10.18653/v1/2020.coling-main.66","ISBN":"9781952148279","abstract":"Although the Indonesian language is spoken by almost 200 million people and the 10th most-spoken language in the world,1 it is under-represented in NLP research. Previous work on Indonesian has been hampered by a lack of annotated datasets, a sparsity of language resources, and a lack of resource standardization. In this work, we release the INDOLEM dataset comprising seven tasks for the Indonesian language, spanning morpho-syntax, semantics, and discourse. We additionally release INDOBERT, a new pre-trained language model for Indonesian, and evaluate it over INDOLEM, in addition to benchmarking it against existing resources. Our experiments show that INDOBERT achieves state-of-the-art performance over most of the tasks in INDOLEM.","author":[{"dropping-particle":"","family":"Koto","given":"Fajri","non-dropping-particle":"","parse-names":false,"suffix":""},{"dropping-particle":"","family":"Rahimi","given":"Afshin","non-dropping-particle":"","parse-names":false,"suffix":""},{"dropping-particle":"","family":"Lau","given":"Jey Han","non-dropping-particle":"","parse-names":false,"suffix":""},{"dropping-particle":"","family":"Baldwin","given":"Timothy","non-dropping-particle":"","parse-names":false,"suffix":""}],"container-title":"COLING 2020 - 28th International Conference on Computational Linguistics, Proceedings of the Conference","id":"ITEM-1","issued":{"date-parts":[["2020"]]},"page":"757-770","title":"IndoLEM and IndoBERT: A Benchmark Dataset and Pre-trained Language Model for Indonesian NLP","type":"article-journal"},"uris":["http://www.mendeley.com/documents/?uuid=67f71cd3-3ccd-4020-945e-2fafe9d4a19f"]}],"mendeley":{"formattedCitation":"[7]","plainTextFormattedCitation":"[7]","previouslyFormattedCitation":"[6]"},"properties":{"noteIndex":0},"schema":"https://github.com/citation-style-language/schema/raw/master/csl-citation.json"}</w:instrText>
      </w:r>
      <w:r w:rsidR="00C647D4" w:rsidRPr="00C647D4">
        <w:rPr>
          <w:lang w:val="id-ID"/>
        </w:rPr>
        <w:fldChar w:fldCharType="separate"/>
      </w:r>
      <w:r w:rsidR="001C57FA" w:rsidRPr="001C57FA">
        <w:rPr>
          <w:noProof/>
          <w:lang w:val="id-ID"/>
        </w:rPr>
        <w:t>[7]</w:t>
      </w:r>
      <w:r w:rsidR="00C647D4" w:rsidRPr="00C647D4">
        <w:rPr>
          <w:lang w:val="id-ID"/>
        </w:rPr>
        <w:fldChar w:fldCharType="end"/>
      </w:r>
      <w:r w:rsidR="00C647D4" w:rsidRPr="00C647D4">
        <w:rPr>
          <w:lang w:val="id-ID"/>
        </w:rPr>
        <w:fldChar w:fldCharType="begin" w:fldLock="1"/>
      </w:r>
      <w:r w:rsidR="001C57FA">
        <w:rPr>
          <w:lang w:val="id-ID"/>
        </w:rPr>
        <w:instrText>ADDIN CSL_CITATION {"citationItems":[{"id":"ITEM-1","itemData":{"abstract":"Although Indonesian is known to be the fourth most frequently used language over the internet, the research progress on this language in the natural language processing (NLP) is slow-moving due to a lack of available resources. In response, we introduce the first-ever vast resource for the training, evaluating, and benchmarking on Indonesian natural language understanding (IndoNLU) tasks. IndoNLU includes twelve tasks, ranging from single sentence classification to pair-sentences sequence labeling with different levels of complexity. The datasets for the tasks lie in different domains and styles to ensure task diversity. We also provide a set of Indonesian pre-trained models (IndoBERT) trained from a large and clean Indonesian dataset Indo4B collected from publicly available sources such as social media texts, blogs, news, and websites. We release baseline models for all twelve tasks, as well as the framework for benchmark evaluation, and thus it enables everyone to benchmark their system performances.","author":[{"dropping-particle":"","family":"Wilie","given":"Bryan","non-dropping-particle":"","parse-names":false,"suffix":""},{"dropping-particle":"","family":"Vincentio","given":"Karissa","non-dropping-particle":"","parse-names":false,"suffix":""},{"dropping-particle":"","family":"Winata","given":"Genta Indra","non-dropping-particle":"","parse-names":false,"suffix":""},{"dropping-particle":"","family":"Cahyawijaya","given":"Samuel","non-dropping-particle":"","parse-names":false,"suffix":""},{"dropping-particle":"","family":"Li","given":"Xiaohong","non-dropping-particle":"","parse-names":false,"suffix":""},{"dropping-particle":"","family":"Lim","given":"Zhi Yuan","non-dropping-particle":"","parse-names":false,"suffix":""},{"dropping-particle":"","family":"Soleman","given":"Sidik","non-dropping-particle":"","parse-names":false,"suffix":""},{"dropping-particle":"","family":"Mahendra","given":"Rahmad","non-dropping-particle":"","parse-names":false,"suffix":""},{"dropping-particle":"","family":"Fung","given":"Pascale","non-dropping-particle":"","parse-names":false,"suffix":""},{"dropping-particle":"","family":"Bahar","given":"Syafri","non-dropping-particle":"","parse-names":false,"suffix":""},{"dropping-particle":"","family":"Purwarianti","given":"Ayu","non-dropping-particle":"","parse-names":false,"suffix":""}],"id":"ITEM-1","issued":{"date-parts":[["2020"]]},"page":"843-857","title":"IndoNLU: Benchmark and Resources for Evaluating Indonesian Natural Language Understanding","type":"article-journal"},"uris":["http://www.mendeley.com/documents/?uuid=f5992e6c-c2fc-48ae-83a2-7c61e6dc0e69"]}],"mendeley":{"formattedCitation":"[8]","plainTextFormattedCitation":"[8]","previouslyFormattedCitation":"[7]"},"properties":{"noteIndex":0},"schema":"https://github.com/citation-style-language/schema/raw/master/csl-citation.json"}</w:instrText>
      </w:r>
      <w:r w:rsidR="00C647D4" w:rsidRPr="00C647D4">
        <w:rPr>
          <w:lang w:val="id-ID"/>
        </w:rPr>
        <w:fldChar w:fldCharType="separate"/>
      </w:r>
      <w:r w:rsidR="001C57FA" w:rsidRPr="001C57FA">
        <w:rPr>
          <w:noProof/>
          <w:lang w:val="id-ID"/>
        </w:rPr>
        <w:t>[8]</w:t>
      </w:r>
      <w:r w:rsidR="00C647D4" w:rsidRPr="00C647D4">
        <w:rPr>
          <w:lang w:val="id-ID"/>
        </w:rPr>
        <w:fldChar w:fldCharType="end"/>
      </w:r>
      <w:r w:rsidRPr="00684F04">
        <w:rPr>
          <w:lang w:val="id-ID"/>
        </w:rPr>
        <w:t>. Seluruh proses melibatkan pemanfaatan deep learning untuk meningkatkan akurasi NER pada teks hukum. Hasil pelatihan model dievaluasi menggunakan metrik presisi, recall, dan F1-score untuk menentukan performa terbaik di antara kedua model.</w:t>
      </w:r>
    </w:p>
    <w:p w14:paraId="1630EC55" w14:textId="77777777" w:rsidR="00354A58" w:rsidRPr="003D6B19" w:rsidRDefault="00354A58" w:rsidP="00354A58">
      <w:pPr>
        <w:rPr>
          <w:b/>
          <w:bCs/>
        </w:rPr>
      </w:pPr>
      <w:bookmarkStart w:id="4" w:name="_Hlk78354375"/>
    </w:p>
    <w:p w14:paraId="574D1FDC" w14:textId="13FA5397" w:rsidR="00354A58" w:rsidRPr="003D6B19" w:rsidRDefault="00354A58" w:rsidP="006C0A32">
      <w:pPr>
        <w:rPr>
          <w:noProof/>
          <w:lang w:val="id-ID"/>
        </w:rPr>
      </w:pPr>
    </w:p>
    <w:p w14:paraId="048C1DB7" w14:textId="77777777" w:rsidR="00354A58" w:rsidRPr="003D6B19" w:rsidRDefault="00354A58" w:rsidP="00354A58">
      <w:pPr>
        <w:jc w:val="center"/>
        <w:rPr>
          <w:b/>
          <w:bCs/>
        </w:rPr>
      </w:pPr>
    </w:p>
    <w:p w14:paraId="0E5C9567" w14:textId="5CC5162C" w:rsidR="00354A58" w:rsidRDefault="00354A58" w:rsidP="00354A58">
      <w:pPr>
        <w:jc w:val="center"/>
        <w:rPr>
          <w:b/>
          <w:bCs/>
        </w:rPr>
      </w:pPr>
    </w:p>
    <w:p w14:paraId="1A06B4E6" w14:textId="77777777" w:rsidR="0098116E" w:rsidRPr="003D6B19" w:rsidRDefault="0098116E" w:rsidP="0098116E">
      <w:pPr>
        <w:jc w:val="center"/>
        <w:rPr>
          <w:lang w:val="id-ID"/>
        </w:rPr>
      </w:pPr>
      <w:r w:rsidRPr="003D6B19">
        <w:rPr>
          <w:lang w:val="id-ID"/>
        </w:rPr>
        <w:t xml:space="preserve">Table 1. The </w:t>
      </w:r>
      <w:r w:rsidRPr="003D6B19">
        <w:t>p</w:t>
      </w:r>
      <w:r w:rsidRPr="003D6B19">
        <w:rPr>
          <w:lang w:val="id-ID"/>
        </w:rPr>
        <w:t>erformance of ...</w:t>
      </w:r>
    </w:p>
    <w:tbl>
      <w:tblPr>
        <w:tblW w:w="0" w:type="auto"/>
        <w:jc w:val="center"/>
        <w:tblBorders>
          <w:bottom w:val="single" w:sz="4" w:space="0" w:color="auto"/>
        </w:tblBorders>
        <w:tblLayout w:type="fixed"/>
        <w:tblLook w:val="01E0" w:firstRow="1" w:lastRow="1" w:firstColumn="1" w:lastColumn="1" w:noHBand="0" w:noVBand="0"/>
      </w:tblPr>
      <w:tblGrid>
        <w:gridCol w:w="1124"/>
        <w:gridCol w:w="1358"/>
        <w:gridCol w:w="1350"/>
      </w:tblGrid>
      <w:tr w:rsidR="0098116E" w:rsidRPr="003D6B19" w14:paraId="4CE442C2" w14:textId="77777777" w:rsidTr="000866DA">
        <w:trPr>
          <w:jc w:val="center"/>
        </w:trPr>
        <w:tc>
          <w:tcPr>
            <w:tcW w:w="1124" w:type="dxa"/>
            <w:tcBorders>
              <w:top w:val="single" w:sz="4" w:space="0" w:color="auto"/>
              <w:bottom w:val="single" w:sz="4" w:space="0" w:color="auto"/>
            </w:tcBorders>
          </w:tcPr>
          <w:p w14:paraId="0E569F4B" w14:textId="77777777" w:rsidR="0098116E" w:rsidRPr="003D6B19" w:rsidRDefault="0098116E" w:rsidP="000866DA">
            <w:pPr>
              <w:jc w:val="center"/>
              <w:rPr>
                <w:sz w:val="16"/>
                <w:szCs w:val="16"/>
                <w:lang w:val="id-ID"/>
              </w:rPr>
            </w:pPr>
            <w:r w:rsidRPr="003D6B19">
              <w:rPr>
                <w:sz w:val="16"/>
                <w:szCs w:val="16"/>
                <w:lang w:val="id-ID"/>
              </w:rPr>
              <w:t>Variable</w:t>
            </w:r>
          </w:p>
        </w:tc>
        <w:tc>
          <w:tcPr>
            <w:tcW w:w="1358" w:type="dxa"/>
            <w:tcBorders>
              <w:top w:val="single" w:sz="4" w:space="0" w:color="auto"/>
              <w:bottom w:val="single" w:sz="4" w:space="0" w:color="auto"/>
            </w:tcBorders>
          </w:tcPr>
          <w:p w14:paraId="2C29BB84" w14:textId="77777777" w:rsidR="0098116E" w:rsidRPr="003D6B19" w:rsidRDefault="0098116E" w:rsidP="000866DA">
            <w:pPr>
              <w:jc w:val="center"/>
              <w:rPr>
                <w:sz w:val="16"/>
                <w:szCs w:val="16"/>
              </w:rPr>
            </w:pPr>
            <w:r w:rsidRPr="003D6B19">
              <w:rPr>
                <w:sz w:val="16"/>
                <w:szCs w:val="16"/>
                <w:lang w:val="id-ID"/>
              </w:rPr>
              <w:t>Speed</w:t>
            </w:r>
            <w:r w:rsidRPr="003D6B19">
              <w:rPr>
                <w:sz w:val="16"/>
                <w:szCs w:val="16"/>
              </w:rPr>
              <w:t xml:space="preserve"> (rpm)</w:t>
            </w:r>
          </w:p>
        </w:tc>
        <w:tc>
          <w:tcPr>
            <w:tcW w:w="1350" w:type="dxa"/>
            <w:tcBorders>
              <w:top w:val="single" w:sz="4" w:space="0" w:color="auto"/>
              <w:bottom w:val="single" w:sz="4" w:space="0" w:color="auto"/>
            </w:tcBorders>
          </w:tcPr>
          <w:p w14:paraId="580B846E" w14:textId="77777777" w:rsidR="0098116E" w:rsidRPr="003D6B19" w:rsidRDefault="0098116E" w:rsidP="000866DA">
            <w:pPr>
              <w:jc w:val="center"/>
              <w:rPr>
                <w:sz w:val="16"/>
                <w:szCs w:val="16"/>
              </w:rPr>
            </w:pPr>
            <w:r w:rsidRPr="003D6B19">
              <w:rPr>
                <w:sz w:val="16"/>
                <w:szCs w:val="16"/>
                <w:lang w:val="id-ID"/>
              </w:rPr>
              <w:t>Power</w:t>
            </w:r>
            <w:r w:rsidRPr="003D6B19">
              <w:rPr>
                <w:sz w:val="16"/>
                <w:szCs w:val="16"/>
              </w:rPr>
              <w:t xml:space="preserve"> (kW)</w:t>
            </w:r>
          </w:p>
        </w:tc>
      </w:tr>
      <w:tr w:rsidR="0098116E" w:rsidRPr="003D6B19" w14:paraId="2979D53F" w14:textId="77777777" w:rsidTr="000866DA">
        <w:trPr>
          <w:jc w:val="center"/>
        </w:trPr>
        <w:tc>
          <w:tcPr>
            <w:tcW w:w="1124" w:type="dxa"/>
            <w:tcBorders>
              <w:top w:val="single" w:sz="4" w:space="0" w:color="auto"/>
            </w:tcBorders>
          </w:tcPr>
          <w:p w14:paraId="6BE1DB4C" w14:textId="77777777" w:rsidR="0098116E" w:rsidRPr="003D6B19" w:rsidRDefault="0098116E" w:rsidP="000866DA">
            <w:pPr>
              <w:jc w:val="center"/>
              <w:rPr>
                <w:sz w:val="16"/>
                <w:szCs w:val="16"/>
              </w:rPr>
            </w:pPr>
            <w:r w:rsidRPr="003D6B19">
              <w:rPr>
                <w:sz w:val="16"/>
                <w:szCs w:val="16"/>
              </w:rPr>
              <w:t>x</w:t>
            </w:r>
          </w:p>
        </w:tc>
        <w:tc>
          <w:tcPr>
            <w:tcW w:w="1358" w:type="dxa"/>
            <w:tcBorders>
              <w:top w:val="single" w:sz="4" w:space="0" w:color="auto"/>
            </w:tcBorders>
          </w:tcPr>
          <w:p w14:paraId="52A6F61C" w14:textId="77777777" w:rsidR="0098116E" w:rsidRPr="003D6B19" w:rsidRDefault="0098116E" w:rsidP="000866DA">
            <w:pPr>
              <w:jc w:val="center"/>
              <w:rPr>
                <w:sz w:val="16"/>
                <w:szCs w:val="16"/>
              </w:rPr>
            </w:pPr>
            <w:r w:rsidRPr="003D6B19">
              <w:rPr>
                <w:sz w:val="16"/>
                <w:szCs w:val="16"/>
              </w:rPr>
              <w:t>10</w:t>
            </w:r>
          </w:p>
        </w:tc>
        <w:tc>
          <w:tcPr>
            <w:tcW w:w="1350" w:type="dxa"/>
            <w:tcBorders>
              <w:top w:val="single" w:sz="4" w:space="0" w:color="auto"/>
            </w:tcBorders>
          </w:tcPr>
          <w:p w14:paraId="6A3C619E" w14:textId="77777777" w:rsidR="0098116E" w:rsidRPr="003D6B19" w:rsidRDefault="0098116E" w:rsidP="000866DA">
            <w:pPr>
              <w:ind w:right="280"/>
              <w:jc w:val="right"/>
              <w:rPr>
                <w:sz w:val="16"/>
                <w:szCs w:val="16"/>
              </w:rPr>
            </w:pPr>
            <w:r w:rsidRPr="003D6B19">
              <w:rPr>
                <w:sz w:val="16"/>
                <w:szCs w:val="16"/>
              </w:rPr>
              <w:t>8.6</w:t>
            </w:r>
          </w:p>
        </w:tc>
      </w:tr>
      <w:tr w:rsidR="0098116E" w:rsidRPr="003D6B19" w14:paraId="39710843" w14:textId="77777777" w:rsidTr="000866DA">
        <w:trPr>
          <w:jc w:val="center"/>
        </w:trPr>
        <w:tc>
          <w:tcPr>
            <w:tcW w:w="1124" w:type="dxa"/>
          </w:tcPr>
          <w:p w14:paraId="41F6AC7A" w14:textId="77777777" w:rsidR="0098116E" w:rsidRPr="003D6B19" w:rsidRDefault="0098116E" w:rsidP="000866DA">
            <w:pPr>
              <w:jc w:val="center"/>
              <w:rPr>
                <w:sz w:val="16"/>
                <w:szCs w:val="16"/>
              </w:rPr>
            </w:pPr>
            <w:r w:rsidRPr="003D6B19">
              <w:rPr>
                <w:sz w:val="16"/>
                <w:szCs w:val="16"/>
              </w:rPr>
              <w:t>y</w:t>
            </w:r>
          </w:p>
        </w:tc>
        <w:tc>
          <w:tcPr>
            <w:tcW w:w="1358" w:type="dxa"/>
          </w:tcPr>
          <w:p w14:paraId="2F438EF3" w14:textId="77777777" w:rsidR="0098116E" w:rsidRPr="003D6B19" w:rsidRDefault="0098116E" w:rsidP="000866DA">
            <w:pPr>
              <w:jc w:val="center"/>
              <w:rPr>
                <w:sz w:val="16"/>
                <w:szCs w:val="16"/>
              </w:rPr>
            </w:pPr>
            <w:r w:rsidRPr="003D6B19">
              <w:rPr>
                <w:sz w:val="16"/>
                <w:szCs w:val="16"/>
              </w:rPr>
              <w:t>15</w:t>
            </w:r>
          </w:p>
        </w:tc>
        <w:tc>
          <w:tcPr>
            <w:tcW w:w="1350" w:type="dxa"/>
          </w:tcPr>
          <w:p w14:paraId="4DCFD6D2" w14:textId="77777777" w:rsidR="0098116E" w:rsidRPr="003D6B19" w:rsidRDefault="0098116E" w:rsidP="000866DA">
            <w:pPr>
              <w:ind w:right="280"/>
              <w:jc w:val="right"/>
              <w:rPr>
                <w:sz w:val="16"/>
                <w:szCs w:val="16"/>
              </w:rPr>
            </w:pPr>
            <w:r w:rsidRPr="003D6B19">
              <w:rPr>
                <w:sz w:val="16"/>
                <w:szCs w:val="16"/>
              </w:rPr>
              <w:t>12.4</w:t>
            </w:r>
          </w:p>
        </w:tc>
      </w:tr>
      <w:tr w:rsidR="0098116E" w:rsidRPr="003D6B19" w14:paraId="77C76AE4" w14:textId="77777777" w:rsidTr="000866DA">
        <w:trPr>
          <w:jc w:val="center"/>
        </w:trPr>
        <w:tc>
          <w:tcPr>
            <w:tcW w:w="1124" w:type="dxa"/>
            <w:tcBorders>
              <w:bottom w:val="single" w:sz="4" w:space="0" w:color="auto"/>
            </w:tcBorders>
          </w:tcPr>
          <w:p w14:paraId="4056C13D" w14:textId="77777777" w:rsidR="0098116E" w:rsidRPr="003D6B19" w:rsidRDefault="0098116E" w:rsidP="000866DA">
            <w:pPr>
              <w:jc w:val="center"/>
              <w:rPr>
                <w:sz w:val="16"/>
                <w:szCs w:val="16"/>
              </w:rPr>
            </w:pPr>
            <w:r w:rsidRPr="003D6B19">
              <w:rPr>
                <w:sz w:val="16"/>
                <w:szCs w:val="16"/>
              </w:rPr>
              <w:t>z</w:t>
            </w:r>
          </w:p>
        </w:tc>
        <w:tc>
          <w:tcPr>
            <w:tcW w:w="1358" w:type="dxa"/>
            <w:tcBorders>
              <w:bottom w:val="single" w:sz="4" w:space="0" w:color="auto"/>
            </w:tcBorders>
          </w:tcPr>
          <w:p w14:paraId="5B402543" w14:textId="77777777" w:rsidR="0098116E" w:rsidRPr="003D6B19" w:rsidRDefault="0098116E" w:rsidP="000866DA">
            <w:pPr>
              <w:jc w:val="center"/>
              <w:rPr>
                <w:sz w:val="16"/>
                <w:szCs w:val="16"/>
              </w:rPr>
            </w:pPr>
            <w:r w:rsidRPr="003D6B19">
              <w:rPr>
                <w:sz w:val="16"/>
                <w:szCs w:val="16"/>
              </w:rPr>
              <w:t>20</w:t>
            </w:r>
          </w:p>
        </w:tc>
        <w:tc>
          <w:tcPr>
            <w:tcW w:w="1350" w:type="dxa"/>
            <w:tcBorders>
              <w:bottom w:val="single" w:sz="4" w:space="0" w:color="auto"/>
            </w:tcBorders>
          </w:tcPr>
          <w:p w14:paraId="46E26EF4" w14:textId="77777777" w:rsidR="0098116E" w:rsidRPr="003D6B19" w:rsidRDefault="0098116E" w:rsidP="000866DA">
            <w:pPr>
              <w:ind w:right="280"/>
              <w:jc w:val="right"/>
              <w:rPr>
                <w:sz w:val="16"/>
                <w:szCs w:val="16"/>
              </w:rPr>
            </w:pPr>
            <w:r w:rsidRPr="003D6B19">
              <w:rPr>
                <w:sz w:val="16"/>
                <w:szCs w:val="16"/>
              </w:rPr>
              <w:t>15.3</w:t>
            </w:r>
          </w:p>
        </w:tc>
      </w:tr>
    </w:tbl>
    <w:p w14:paraId="0FF08ABA" w14:textId="77777777" w:rsidR="0098116E" w:rsidRPr="003D6B19" w:rsidRDefault="0098116E" w:rsidP="00354A58">
      <w:pPr>
        <w:jc w:val="center"/>
        <w:rPr>
          <w:b/>
          <w:bCs/>
        </w:rPr>
      </w:pPr>
    </w:p>
    <w:bookmarkEnd w:id="4"/>
    <w:p w14:paraId="00244041" w14:textId="77777777" w:rsidR="00354A58" w:rsidRPr="003D6B19" w:rsidRDefault="00354A58" w:rsidP="00354A58">
      <w:pPr>
        <w:tabs>
          <w:tab w:val="left" w:pos="426"/>
        </w:tabs>
        <w:ind w:left="426"/>
        <w:rPr>
          <w:b/>
          <w:bCs/>
          <w:lang w:val="id-ID"/>
        </w:rPr>
      </w:pPr>
    </w:p>
    <w:p w14:paraId="3527101A" w14:textId="77777777" w:rsidR="0098116E" w:rsidRPr="004622D4" w:rsidRDefault="0098116E" w:rsidP="0098116E">
      <w:pPr>
        <w:jc w:val="center"/>
      </w:pPr>
      <w:r w:rsidRPr="00CE759E">
        <w:rPr>
          <w:noProof/>
        </w:rPr>
        <w:lastRenderedPageBreak/>
        <w:drawing>
          <wp:inline distT="0" distB="0" distL="0" distR="0" wp14:anchorId="2DA421C2" wp14:editId="15A2621E">
            <wp:extent cx="4124325" cy="2114550"/>
            <wp:effectExtent l="19050" t="19050" r="28575" b="1905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rrowheads="1"/>
                    </pic:cNvPicPr>
                  </pic:nvPicPr>
                  <pic:blipFill>
                    <a:blip r:embed="rId11">
                      <a:extLst>
                        <a:ext uri="{28A0092B-C50C-407E-A947-70E740481C1C}">
                          <a14:useLocalDpi xmlns:a14="http://schemas.microsoft.com/office/drawing/2010/main" val="0"/>
                        </a:ext>
                      </a:extLst>
                    </a:blip>
                    <a:srcRect l="2678" t="3680" r="1785" b="6136"/>
                    <a:stretch>
                      <a:fillRect/>
                    </a:stretch>
                  </pic:blipFill>
                  <pic:spPr bwMode="auto">
                    <a:xfrm>
                      <a:off x="0" y="0"/>
                      <a:ext cx="4124325" cy="2114550"/>
                    </a:xfrm>
                    <a:prstGeom prst="rect">
                      <a:avLst/>
                    </a:prstGeom>
                    <a:noFill/>
                    <a:ln w="9525" cmpd="sng">
                      <a:solidFill>
                        <a:srgbClr val="A6A6A6"/>
                      </a:solidFill>
                      <a:miter lim="800000"/>
                      <a:headEnd/>
                      <a:tailEnd/>
                    </a:ln>
                    <a:effectLst/>
                  </pic:spPr>
                </pic:pic>
              </a:graphicData>
            </a:graphic>
          </wp:inline>
        </w:drawing>
      </w:r>
    </w:p>
    <w:p w14:paraId="36A17848" w14:textId="77777777" w:rsidR="0098116E" w:rsidRPr="004622D4" w:rsidRDefault="0098116E" w:rsidP="0098116E">
      <w:pPr>
        <w:jc w:val="center"/>
        <w:rPr>
          <w:iCs/>
        </w:rPr>
      </w:pPr>
      <w:r>
        <w:rPr>
          <w:iCs/>
        </w:rPr>
        <w:t>(a)</w:t>
      </w:r>
    </w:p>
    <w:p w14:paraId="6B903CE4" w14:textId="77777777" w:rsidR="0098116E" w:rsidRPr="00773306" w:rsidRDefault="0098116E" w:rsidP="0098116E">
      <w:pPr>
        <w:ind w:firstLine="720"/>
        <w:jc w:val="both"/>
        <w:rPr>
          <w:iCs/>
        </w:rPr>
      </w:pPr>
    </w:p>
    <w:p w14:paraId="177CF5C2" w14:textId="77777777" w:rsidR="0098116E" w:rsidRDefault="0098116E" w:rsidP="0098116E">
      <w:pPr>
        <w:jc w:val="center"/>
        <w:rPr>
          <w:iCs/>
        </w:rPr>
      </w:pPr>
      <w:r w:rsidRPr="00CE759E">
        <w:rPr>
          <w:noProof/>
        </w:rPr>
        <w:drawing>
          <wp:inline distT="0" distB="0" distL="0" distR="0" wp14:anchorId="4FA8875C" wp14:editId="134FB45D">
            <wp:extent cx="4152900" cy="1943100"/>
            <wp:effectExtent l="19050" t="19050" r="19050" b="1905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preferRelativeResize="0">
                      <a:picLocks noChangeArrowheads="1"/>
                    </pic:cNvPicPr>
                  </pic:nvPicPr>
                  <pic:blipFill>
                    <a:blip r:embed="rId12">
                      <a:extLst>
                        <a:ext uri="{28A0092B-C50C-407E-A947-70E740481C1C}">
                          <a14:useLocalDpi xmlns:a14="http://schemas.microsoft.com/office/drawing/2010/main" val="0"/>
                        </a:ext>
                      </a:extLst>
                    </a:blip>
                    <a:srcRect l="3215" t="3552" r="1706" b="5328"/>
                    <a:stretch>
                      <a:fillRect/>
                    </a:stretch>
                  </pic:blipFill>
                  <pic:spPr bwMode="auto">
                    <a:xfrm>
                      <a:off x="0" y="0"/>
                      <a:ext cx="4152900" cy="1943100"/>
                    </a:xfrm>
                    <a:prstGeom prst="rect">
                      <a:avLst/>
                    </a:prstGeom>
                    <a:noFill/>
                    <a:ln w="9525" cmpd="sng">
                      <a:solidFill>
                        <a:srgbClr val="A6A6A6"/>
                      </a:solidFill>
                      <a:miter lim="800000"/>
                      <a:headEnd/>
                      <a:tailEnd/>
                    </a:ln>
                    <a:effectLst/>
                  </pic:spPr>
                </pic:pic>
              </a:graphicData>
            </a:graphic>
          </wp:inline>
        </w:drawing>
      </w:r>
    </w:p>
    <w:p w14:paraId="345D055F" w14:textId="72079C71" w:rsidR="00354A58" w:rsidRDefault="0098116E" w:rsidP="0098116E">
      <w:pPr>
        <w:jc w:val="center"/>
        <w:rPr>
          <w:iCs/>
        </w:rPr>
      </w:pPr>
      <w:r>
        <w:rPr>
          <w:iCs/>
        </w:rPr>
        <w:t>(b)</w:t>
      </w:r>
    </w:p>
    <w:p w14:paraId="2909818E" w14:textId="3DC865F1" w:rsidR="0098116E" w:rsidRDefault="0098116E" w:rsidP="0098116E">
      <w:pPr>
        <w:jc w:val="center"/>
        <w:rPr>
          <w:iCs/>
        </w:rPr>
      </w:pPr>
    </w:p>
    <w:p w14:paraId="4BFBA970" w14:textId="1820A635" w:rsidR="0098116E" w:rsidRDefault="0098116E" w:rsidP="0098116E">
      <w:pPr>
        <w:jc w:val="center"/>
        <w:rPr>
          <w:iCs/>
        </w:rPr>
      </w:pPr>
      <w:r w:rsidRPr="004622D4">
        <w:rPr>
          <w:iCs/>
        </w:rPr>
        <w:t xml:space="preserve">Figure </w:t>
      </w:r>
      <w:r>
        <w:rPr>
          <w:iCs/>
        </w:rPr>
        <w:t>2</w:t>
      </w:r>
      <w:r w:rsidRPr="004622D4">
        <w:rPr>
          <w:iCs/>
        </w:rPr>
        <w:t xml:space="preserve">. Nodes energy consumption in network </w:t>
      </w:r>
      <w:r>
        <w:rPr>
          <w:iCs/>
        </w:rPr>
        <w:t>(a)</w:t>
      </w:r>
      <w:r w:rsidRPr="004622D4">
        <w:rPr>
          <w:iCs/>
        </w:rPr>
        <w:t xml:space="preserve"> OHCRP (50% </w:t>
      </w:r>
      <w:proofErr w:type="spellStart"/>
      <w:r w:rsidRPr="004622D4">
        <w:rPr>
          <w:iCs/>
        </w:rPr>
        <w:t>DSr</w:t>
      </w:r>
      <w:proofErr w:type="spellEnd"/>
      <w:r w:rsidRPr="004622D4">
        <w:rPr>
          <w:iCs/>
        </w:rPr>
        <w:t>) vs SPEED</w:t>
      </w:r>
      <w:r>
        <w:rPr>
          <w:iCs/>
        </w:rPr>
        <w:t xml:space="preserve"> and </w:t>
      </w:r>
      <w:r>
        <w:rPr>
          <w:iCs/>
        </w:rPr>
        <w:br/>
        <w:t xml:space="preserve">(b) </w:t>
      </w:r>
      <w:r w:rsidRPr="004622D4">
        <w:rPr>
          <w:iCs/>
        </w:rPr>
        <w:t xml:space="preserve">OHCRP (50% </w:t>
      </w:r>
      <w:proofErr w:type="spellStart"/>
      <w:r w:rsidRPr="004622D4">
        <w:rPr>
          <w:iCs/>
        </w:rPr>
        <w:t>DSr</w:t>
      </w:r>
      <w:proofErr w:type="spellEnd"/>
      <w:r w:rsidRPr="004622D4">
        <w:rPr>
          <w:iCs/>
        </w:rPr>
        <w:t>) vs THVR</w:t>
      </w:r>
    </w:p>
    <w:p w14:paraId="5397B654" w14:textId="3B378430" w:rsidR="0098116E" w:rsidRDefault="0098116E" w:rsidP="0098116E">
      <w:pPr>
        <w:jc w:val="center"/>
        <w:rPr>
          <w:iCs/>
        </w:rPr>
      </w:pPr>
    </w:p>
    <w:p w14:paraId="5BD70844" w14:textId="77777777" w:rsidR="0098116E" w:rsidRPr="003D6B19" w:rsidRDefault="0098116E" w:rsidP="0098116E">
      <w:pPr>
        <w:jc w:val="center"/>
        <w:rPr>
          <w:lang w:val="id-ID"/>
        </w:rPr>
      </w:pPr>
    </w:p>
    <w:bookmarkEnd w:id="2"/>
    <w:p w14:paraId="52F942E6"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RESULTS AND DISCUSSION</w:t>
      </w:r>
      <w:r w:rsidRPr="003D6B19">
        <w:rPr>
          <w:b/>
          <w:bCs/>
        </w:rPr>
        <w:t xml:space="preserve"> (10 PT)</w:t>
      </w:r>
    </w:p>
    <w:p w14:paraId="6DDE9BAA" w14:textId="77777777" w:rsidR="00684F04" w:rsidRPr="00684F04" w:rsidRDefault="00684F04" w:rsidP="00684F04">
      <w:pPr>
        <w:ind w:firstLine="720"/>
        <w:jc w:val="both"/>
        <w:rPr>
          <w:lang w:val="id-ID"/>
        </w:rPr>
      </w:pPr>
      <w:bookmarkStart w:id="5" w:name="_Hlk78354443"/>
      <w:r w:rsidRPr="00684F04">
        <w:rPr>
          <w:lang w:val="id-ID"/>
        </w:rPr>
        <w:t>Hasil dari penelitian menunjukkan bahwa model Indolem/indobert-base-uncased memiliki performa yang lebih unggul dibandingkan dengan Indobenchmark/indobert-base-p2 dalam tugas NER pada dokumen hukum</w:t>
      </w:r>
      <w:r w:rsidRPr="00684F04">
        <w:rPr>
          <w:rFonts w:ascii="MS Gothic" w:eastAsia="MS Gothic" w:hAnsi="MS Gothic" w:cs="MS Gothic" w:hint="eastAsia"/>
          <w:lang w:val="id-ID"/>
        </w:rPr>
        <w:t>【</w:t>
      </w:r>
      <w:r w:rsidRPr="00684F04">
        <w:rPr>
          <w:lang w:val="id-ID"/>
        </w:rPr>
        <w:t>20</w:t>
      </w:r>
      <w:r w:rsidRPr="00684F04">
        <w:rPr>
          <w:rFonts w:ascii="MS Gothic" w:eastAsia="MS Gothic" w:hAnsi="MS Gothic" w:cs="MS Gothic" w:hint="eastAsia"/>
          <w:lang w:val="id-ID"/>
        </w:rPr>
        <w:t>】</w:t>
      </w:r>
      <w:r w:rsidRPr="00684F04">
        <w:rPr>
          <w:lang w:val="id-ID"/>
        </w:rPr>
        <w:t>. Rata-rata nilai presisi, recall, dan F1-score untuk model Indolem/indobert-base-uncased masing-masing adalah 90%, 88%, dan 89%</w:t>
      </w:r>
      <w:r w:rsidRPr="00684F04">
        <w:rPr>
          <w:rFonts w:ascii="MS Gothic" w:eastAsia="MS Gothic" w:hAnsi="MS Gothic" w:cs="MS Gothic" w:hint="eastAsia"/>
          <w:lang w:val="id-ID"/>
        </w:rPr>
        <w:t>【</w:t>
      </w:r>
      <w:r w:rsidRPr="00684F04">
        <w:rPr>
          <w:lang w:val="id-ID"/>
        </w:rPr>
        <w:t>21</w:t>
      </w:r>
      <w:r w:rsidRPr="00684F04">
        <w:rPr>
          <w:rFonts w:ascii="MS Gothic" w:eastAsia="MS Gothic" w:hAnsi="MS Gothic" w:cs="MS Gothic" w:hint="eastAsia"/>
          <w:lang w:val="id-ID"/>
        </w:rPr>
        <w:t>】</w:t>
      </w:r>
      <w:r w:rsidRPr="00684F04">
        <w:rPr>
          <w:lang w:val="id-ID"/>
        </w:rPr>
        <w:t>. Sedangkan untuk model Indobenchmark/indobert-base-p2, masing-masing adalah 88%, 88%, dan 84%</w:t>
      </w:r>
      <w:r w:rsidRPr="00684F04">
        <w:rPr>
          <w:rFonts w:ascii="MS Gothic" w:eastAsia="MS Gothic" w:hAnsi="MS Gothic" w:cs="MS Gothic" w:hint="eastAsia"/>
          <w:lang w:val="id-ID"/>
        </w:rPr>
        <w:t>【</w:t>
      </w:r>
      <w:r w:rsidRPr="00684F04">
        <w:rPr>
          <w:lang w:val="id-ID"/>
        </w:rPr>
        <w:t>22</w:t>
      </w:r>
      <w:r w:rsidRPr="00684F04">
        <w:rPr>
          <w:rFonts w:ascii="MS Gothic" w:eastAsia="MS Gothic" w:hAnsi="MS Gothic" w:cs="MS Gothic" w:hint="eastAsia"/>
          <w:lang w:val="id-ID"/>
        </w:rPr>
        <w:t>】</w:t>
      </w:r>
      <w:r w:rsidRPr="00684F04">
        <w:rPr>
          <w:lang w:val="id-ID"/>
        </w:rPr>
        <w:t>. Diskusi dari hasil ini mengindikasikan bahwa model Indolem lebih baik dalam menangkap konteks dan struktur kalimat dalam bahasa Indonesia, terutama dalam dokumen hukum yang kompleks</w:t>
      </w:r>
      <w:r w:rsidRPr="00684F04">
        <w:rPr>
          <w:rFonts w:ascii="MS Gothic" w:eastAsia="MS Gothic" w:hAnsi="MS Gothic" w:cs="MS Gothic" w:hint="eastAsia"/>
          <w:lang w:val="id-ID"/>
        </w:rPr>
        <w:t>【</w:t>
      </w:r>
      <w:r w:rsidRPr="00684F04">
        <w:rPr>
          <w:lang w:val="id-ID"/>
        </w:rPr>
        <w:t>23</w:t>
      </w:r>
      <w:r w:rsidRPr="00684F04">
        <w:rPr>
          <w:rFonts w:ascii="MS Gothic" w:eastAsia="MS Gothic" w:hAnsi="MS Gothic" w:cs="MS Gothic" w:hint="eastAsia"/>
          <w:lang w:val="id-ID"/>
        </w:rPr>
        <w:t>】</w:t>
      </w:r>
      <w:r w:rsidRPr="00684F04">
        <w:rPr>
          <w:lang w:val="id-ID"/>
        </w:rPr>
        <w:t>.</w:t>
      </w:r>
    </w:p>
    <w:p w14:paraId="1006CA03" w14:textId="77777777" w:rsidR="00684F04" w:rsidRPr="00684F04" w:rsidRDefault="00684F04" w:rsidP="00684F04">
      <w:pPr>
        <w:ind w:firstLine="720"/>
        <w:jc w:val="both"/>
        <w:rPr>
          <w:lang w:val="id-ID"/>
        </w:rPr>
      </w:pPr>
    </w:p>
    <w:p w14:paraId="6F80954D" w14:textId="77777777" w:rsidR="00684F04" w:rsidRPr="00684F04" w:rsidRDefault="00684F04" w:rsidP="00684F04">
      <w:pPr>
        <w:ind w:firstLine="720"/>
        <w:jc w:val="both"/>
        <w:rPr>
          <w:lang w:val="id-ID"/>
        </w:rPr>
      </w:pPr>
      <w:r w:rsidRPr="00684F04">
        <w:rPr>
          <w:lang w:val="id-ID"/>
        </w:rPr>
        <w:t>Analisis lebih lanjut menunjukkan bahwa penggunaan model berbasis transformer seperti BERT dapat meningkatkan efisiensi dan akurasi dalam identifikasi entitas pada dokumen putusan pengadilan</w:t>
      </w:r>
      <w:r w:rsidRPr="00684F04">
        <w:rPr>
          <w:rFonts w:ascii="MS Gothic" w:eastAsia="MS Gothic" w:hAnsi="MS Gothic" w:cs="MS Gothic" w:hint="eastAsia"/>
          <w:lang w:val="id-ID"/>
        </w:rPr>
        <w:t>【</w:t>
      </w:r>
      <w:r w:rsidRPr="00684F04">
        <w:rPr>
          <w:lang w:val="id-ID"/>
        </w:rPr>
        <w:t>24</w:t>
      </w:r>
      <w:r w:rsidRPr="00684F04">
        <w:rPr>
          <w:rFonts w:ascii="MS Gothic" w:eastAsia="MS Gothic" w:hAnsi="MS Gothic" w:cs="MS Gothic" w:hint="eastAsia"/>
          <w:lang w:val="id-ID"/>
        </w:rPr>
        <w:t>】</w:t>
      </w:r>
      <w:r w:rsidRPr="00684F04">
        <w:rPr>
          <w:lang w:val="id-ID"/>
        </w:rPr>
        <w:t>. Hal ini membuka peluang untuk penerapan lebih luas dari teknologi ini dalam bidang hukum dan dapat meningkatkan proses analisis serta pengelolaan dokumen di lembaga kehakiman</w:t>
      </w:r>
      <w:r w:rsidRPr="00684F04">
        <w:rPr>
          <w:rFonts w:ascii="MS Gothic" w:eastAsia="MS Gothic" w:hAnsi="MS Gothic" w:cs="MS Gothic" w:hint="eastAsia"/>
          <w:lang w:val="id-ID"/>
        </w:rPr>
        <w:t>【</w:t>
      </w:r>
      <w:r w:rsidRPr="00684F04">
        <w:rPr>
          <w:lang w:val="id-ID"/>
        </w:rPr>
        <w:t>25</w:t>
      </w:r>
      <w:r w:rsidRPr="00684F04">
        <w:rPr>
          <w:rFonts w:ascii="MS Gothic" w:eastAsia="MS Gothic" w:hAnsi="MS Gothic" w:cs="MS Gothic" w:hint="eastAsia"/>
          <w:lang w:val="id-ID"/>
        </w:rPr>
        <w:t>】</w:t>
      </w:r>
      <w:r w:rsidRPr="00684F04">
        <w:rPr>
          <w:lang w:val="id-ID"/>
        </w:rPr>
        <w:t>.</w:t>
      </w:r>
    </w:p>
    <w:p w14:paraId="3F885236" w14:textId="538D46B6" w:rsidR="00E619D6" w:rsidRPr="003D6B19" w:rsidRDefault="00354A58" w:rsidP="00E619D6">
      <w:pPr>
        <w:ind w:firstLine="720"/>
        <w:jc w:val="both"/>
        <w:rPr>
          <w:lang w:val="id-ID"/>
        </w:rPr>
      </w:pPr>
      <w:r w:rsidRPr="003D6B19">
        <w:rPr>
          <w:lang w:val="id-ID"/>
        </w:rPr>
        <w:t>.</w:t>
      </w:r>
      <w:bookmarkEnd w:id="5"/>
    </w:p>
    <w:p w14:paraId="6BC6C798" w14:textId="77777777" w:rsidR="00E619D6" w:rsidRPr="003D6B19" w:rsidRDefault="00E619D6" w:rsidP="00E619D6">
      <w:pPr>
        <w:ind w:firstLine="720"/>
        <w:jc w:val="both"/>
        <w:rPr>
          <w:lang w:val="id-ID"/>
        </w:rPr>
      </w:pPr>
    </w:p>
    <w:p w14:paraId="43E3F43A" w14:textId="77777777" w:rsidR="00E619D6" w:rsidRPr="003D6B19" w:rsidRDefault="00E619D6" w:rsidP="00E619D6">
      <w:pPr>
        <w:rPr>
          <w:b/>
          <w:bCs/>
          <w:lang w:val="id-ID"/>
        </w:rPr>
      </w:pPr>
      <w:r w:rsidRPr="003D6B19">
        <w:rPr>
          <w:b/>
          <w:bCs/>
          <w:lang w:val="id-ID"/>
        </w:rPr>
        <w:t xml:space="preserve">3.1. </w:t>
      </w:r>
      <w:r w:rsidRPr="003D6B19">
        <w:rPr>
          <w:b/>
          <w:bCs/>
        </w:rPr>
        <w:t xml:space="preserve"> </w:t>
      </w:r>
      <w:r w:rsidRPr="003D6B19">
        <w:rPr>
          <w:b/>
          <w:bCs/>
          <w:lang w:val="id-ID"/>
        </w:rPr>
        <w:t xml:space="preserve">Sub </w:t>
      </w:r>
      <w:r w:rsidRPr="003D6B19">
        <w:rPr>
          <w:b/>
          <w:bCs/>
        </w:rPr>
        <w:t>section</w:t>
      </w:r>
      <w:r w:rsidRPr="003D6B19">
        <w:rPr>
          <w:b/>
          <w:bCs/>
          <w:lang w:val="id-ID"/>
        </w:rPr>
        <w:t xml:space="preserve"> 1</w:t>
      </w:r>
    </w:p>
    <w:p w14:paraId="1B1D1F07" w14:textId="77777777" w:rsidR="00E619D6" w:rsidRPr="003D6B19" w:rsidRDefault="00E619D6" w:rsidP="00E619D6">
      <w:pPr>
        <w:ind w:firstLine="709"/>
        <w:jc w:val="both"/>
        <w:rPr>
          <w:bCs/>
          <w:lang w:val="id-ID"/>
        </w:rPr>
      </w:pPr>
      <w:bookmarkStart w:id="6" w:name="_Hlk79140867"/>
      <w:r w:rsidRPr="003D6B19">
        <w:rPr>
          <w:lang w:val="id-ID"/>
        </w:rPr>
        <w:t>Equations</w:t>
      </w:r>
      <w:r w:rsidRPr="003D6B19">
        <w:rPr>
          <w:bCs/>
          <w:lang w:val="id-ID"/>
        </w:rPr>
        <w:t xml:space="preserve"> should be placed at the center of the line and provided consecutively with equation numbers</w:t>
      </w:r>
      <w:r w:rsidRPr="003D6B19">
        <w:rPr>
          <w:bCs/>
        </w:rPr>
        <w:t xml:space="preserve"> </w:t>
      </w:r>
      <w:r w:rsidRPr="003D6B19">
        <w:rPr>
          <w:bCs/>
          <w:lang w:val="id-ID"/>
        </w:rPr>
        <w:t xml:space="preserve">in </w:t>
      </w:r>
      <w:r w:rsidRPr="003D6B19">
        <w:rPr>
          <w:lang w:val="id-ID"/>
        </w:rPr>
        <w:t>parentheses</w:t>
      </w:r>
      <w:r w:rsidRPr="003D6B19">
        <w:rPr>
          <w:bCs/>
          <w:lang w:val="id-ID"/>
        </w:rPr>
        <w:t xml:space="preserve"> flushed to the right margin, as in (1). The use of Microsoft Equation Editor or MathType is</w:t>
      </w:r>
      <w:r w:rsidRPr="003D6B19">
        <w:rPr>
          <w:bCs/>
        </w:rPr>
        <w:t xml:space="preserve"> </w:t>
      </w:r>
      <w:r w:rsidRPr="003D6B19">
        <w:rPr>
          <w:bCs/>
          <w:lang w:val="id-ID"/>
        </w:rPr>
        <w:t>preferred.</w:t>
      </w:r>
      <w:bookmarkStart w:id="7" w:name="_Hlk79141485"/>
    </w:p>
    <w:p w14:paraId="473C0DBC" w14:textId="77777777" w:rsidR="00E619D6" w:rsidRPr="003D6B19" w:rsidRDefault="00E619D6" w:rsidP="00E619D6">
      <w:pPr>
        <w:rPr>
          <w:bCs/>
          <w:lang w:val="id-ID"/>
        </w:rPr>
      </w:pPr>
    </w:p>
    <w:p w14:paraId="6A8C919A" w14:textId="0F6A48CC" w:rsidR="004F4003" w:rsidRPr="004F4003" w:rsidRDefault="00000000" w:rsidP="004F4003">
      <w:pPr>
        <w:tabs>
          <w:tab w:val="right" w:pos="8505"/>
        </w:tabs>
        <w:ind w:firstLine="709"/>
        <w:rPr>
          <w:bCs/>
        </w:rPr>
      </w:pPr>
      <m:oMath>
        <m:sSub>
          <m:sSubPr>
            <m:ctrlPr>
              <w:rPr>
                <w:rFonts w:ascii="Cambria Math" w:hAnsi="Cambria Math"/>
                <w:bCs/>
                <w:i/>
                <w:lang w:val="id-ID"/>
              </w:rPr>
            </m:ctrlPr>
          </m:sSubPr>
          <m:e>
            <m:r>
              <w:rPr>
                <w:rFonts w:ascii="Cambria Math" w:hAnsi="Cambria Math"/>
                <w:lang w:val="id-ID"/>
              </w:rPr>
              <m:t>E</m:t>
            </m:r>
          </m:e>
          <m:sub>
            <m:r>
              <w:rPr>
                <w:rFonts w:ascii="Cambria Math" w:hAnsi="Cambria Math"/>
                <w:lang w:val="id-ID"/>
              </w:rPr>
              <m:t>v</m:t>
            </m:r>
          </m:sub>
        </m:sSub>
        <m:r>
          <m:rPr>
            <m:sty m:val="p"/>
          </m:rPr>
          <w:rPr>
            <w:rFonts w:ascii="Cambria Math" w:hAnsi="Cambria Math"/>
            <w:lang w:val="id-ID"/>
          </w:rPr>
          <m:t>-</m:t>
        </m:r>
        <m:r>
          <w:rPr>
            <w:rFonts w:ascii="Cambria Math" w:hAnsi="Cambria Math"/>
            <w:lang w:val="id-ID"/>
          </w:rPr>
          <m:t>E=</m:t>
        </m:r>
        <m:f>
          <m:fPr>
            <m:ctrlPr>
              <w:rPr>
                <w:rFonts w:ascii="Cambria Math" w:hAnsi="Cambria Math"/>
                <w:bCs/>
                <w:lang w:val="id-ID"/>
              </w:rPr>
            </m:ctrlPr>
          </m:fPr>
          <m:num>
            <m:r>
              <w:rPr>
                <w:rFonts w:ascii="Cambria Math" w:hAnsi="Cambria Math"/>
                <w:lang w:val="id-ID"/>
              </w:rPr>
              <m:t>h</m:t>
            </m:r>
          </m:num>
          <m:den>
            <m:r>
              <w:rPr>
                <w:rFonts w:ascii="Cambria Math" w:hAnsi="Cambria Math"/>
                <w:lang w:val="id-ID"/>
              </w:rPr>
              <m:t>2.m</m:t>
            </m:r>
          </m:den>
        </m:f>
        <m:r>
          <w:rPr>
            <w:rFonts w:ascii="Cambria Math" w:hAnsi="Cambria Math"/>
            <w:lang w:val="id-ID"/>
          </w:rPr>
          <m:t xml:space="preserve"> (</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x</m:t>
            </m:r>
          </m:sub>
          <m:sup>
            <m:r>
              <w:rPr>
                <w:rFonts w:ascii="Cambria Math" w:hAnsi="Cambria Math"/>
                <w:lang w:val="id-ID"/>
              </w:rPr>
              <m:t>2</m:t>
            </m:r>
          </m:sup>
        </m:sSubSup>
        <m:r>
          <w:rPr>
            <w:rFonts w:ascii="Cambria Math" w:hAnsi="Cambria Math"/>
            <w:lang w:val="id-ID"/>
          </w:rPr>
          <m:t>+</m:t>
        </m:r>
        <m:sSubSup>
          <m:sSubSupPr>
            <m:ctrlPr>
              <w:rPr>
                <w:rFonts w:ascii="Cambria Math" w:hAnsi="Cambria Math"/>
                <w:bCs/>
                <w:i/>
                <w:lang w:val="id-ID"/>
              </w:rPr>
            </m:ctrlPr>
          </m:sSubSupPr>
          <m:e>
            <m:r>
              <w:rPr>
                <w:rFonts w:ascii="Cambria Math" w:hAnsi="Cambria Math"/>
                <w:lang w:val="id-ID"/>
              </w:rPr>
              <m:t>k</m:t>
            </m:r>
          </m:e>
          <m:sub>
            <m:r>
              <w:rPr>
                <w:rFonts w:ascii="Cambria Math" w:hAnsi="Cambria Math"/>
                <w:lang w:val="id-ID"/>
              </w:rPr>
              <m:t>y</m:t>
            </m:r>
          </m:sub>
          <m:sup>
            <m:r>
              <w:rPr>
                <w:rFonts w:ascii="Cambria Math" w:hAnsi="Cambria Math"/>
                <w:lang w:val="id-ID"/>
              </w:rPr>
              <m:t>2</m:t>
            </m:r>
          </m:sup>
        </m:sSubSup>
      </m:oMath>
      <w:r w:rsidR="00E619D6" w:rsidRPr="003D6B19">
        <w:rPr>
          <w:bCs/>
        </w:rPr>
        <w:t>)</w:t>
      </w:r>
      <w:r w:rsidR="00E619D6" w:rsidRPr="003D6B19">
        <w:rPr>
          <w:bCs/>
        </w:rPr>
        <w:tab/>
      </w:r>
      <w:r w:rsidR="00E619D6" w:rsidRPr="00735BBC">
        <w:rPr>
          <w:bCs/>
        </w:rPr>
        <w:t>(1)</w:t>
      </w:r>
    </w:p>
    <w:p w14:paraId="053DC32B" w14:textId="77777777" w:rsidR="00E619D6" w:rsidRPr="003D6B19" w:rsidRDefault="00E619D6" w:rsidP="00E619D6">
      <w:pPr>
        <w:rPr>
          <w:bCs/>
          <w:lang w:val="id-ID"/>
        </w:rPr>
      </w:pPr>
    </w:p>
    <w:p w14:paraId="2D74FFB2" w14:textId="609F99FC" w:rsidR="00E619D6" w:rsidRPr="003D6B19" w:rsidRDefault="00E619D6" w:rsidP="00E619D6">
      <w:pPr>
        <w:rPr>
          <w:bCs/>
          <w:lang w:val="id-ID"/>
        </w:rPr>
      </w:pPr>
      <w:r w:rsidRPr="00735BBC">
        <w:rPr>
          <w:bCs/>
          <w:lang w:val="id-ID"/>
        </w:rPr>
        <w:t>All symbols that</w:t>
      </w:r>
      <w:r w:rsidRPr="003D6B19">
        <w:rPr>
          <w:bCs/>
          <w:lang w:val="id-ID"/>
        </w:rPr>
        <w:t xml:space="preserve"> have</w:t>
      </w:r>
      <w:r w:rsidR="000F703D">
        <w:rPr>
          <w:bCs/>
        </w:rPr>
        <w:t xml:space="preserve"> been</w:t>
      </w:r>
      <w:r w:rsidRPr="003D6B19">
        <w:rPr>
          <w:bCs/>
          <w:lang w:val="id-ID"/>
        </w:rPr>
        <w:t xml:space="preserve"> </w:t>
      </w:r>
      <w:r w:rsidR="000F703D">
        <w:rPr>
          <w:bCs/>
        </w:rPr>
        <w:t>used in the</w:t>
      </w:r>
      <w:r w:rsidRPr="003D6B19">
        <w:rPr>
          <w:bCs/>
          <w:lang w:val="id-ID"/>
        </w:rPr>
        <w:t xml:space="preserve"> equation</w:t>
      </w:r>
      <w:r w:rsidR="000F703D">
        <w:rPr>
          <w:bCs/>
        </w:rPr>
        <w:t>s</w:t>
      </w:r>
      <w:r w:rsidRPr="003D6B19">
        <w:rPr>
          <w:bCs/>
          <w:lang w:val="id-ID"/>
        </w:rPr>
        <w:t xml:space="preserve"> should be </w:t>
      </w:r>
      <w:r w:rsidR="000F703D">
        <w:rPr>
          <w:bCs/>
        </w:rPr>
        <w:t xml:space="preserve">defined </w:t>
      </w:r>
      <w:r w:rsidRPr="003D6B19">
        <w:rPr>
          <w:bCs/>
          <w:lang w:val="id-ID"/>
        </w:rPr>
        <w:t>in the following text.</w:t>
      </w:r>
    </w:p>
    <w:bookmarkEnd w:id="6"/>
    <w:bookmarkEnd w:id="7"/>
    <w:p w14:paraId="7C82168B" w14:textId="77777777" w:rsidR="00E619D6" w:rsidRPr="003D6B19" w:rsidRDefault="00E619D6" w:rsidP="00E619D6">
      <w:pPr>
        <w:rPr>
          <w:b/>
          <w:bCs/>
          <w:lang w:val="id-ID"/>
        </w:rPr>
      </w:pPr>
    </w:p>
    <w:p w14:paraId="25A7CC42" w14:textId="77777777" w:rsidR="00E619D6" w:rsidRPr="003D6B19" w:rsidRDefault="00E619D6" w:rsidP="00E619D6">
      <w:pPr>
        <w:rPr>
          <w:b/>
          <w:bCs/>
          <w:lang w:val="id-ID"/>
        </w:rPr>
      </w:pPr>
      <w:r w:rsidRPr="003D6B19">
        <w:rPr>
          <w:b/>
          <w:bCs/>
          <w:lang w:val="id-ID"/>
        </w:rPr>
        <w:t xml:space="preserve">3.2. </w:t>
      </w:r>
      <w:r w:rsidRPr="003D6B19">
        <w:rPr>
          <w:b/>
          <w:bCs/>
        </w:rPr>
        <w:t xml:space="preserve"> </w:t>
      </w:r>
      <w:r w:rsidRPr="003D6B19">
        <w:rPr>
          <w:b/>
          <w:bCs/>
          <w:lang w:val="id-ID"/>
        </w:rPr>
        <w:t xml:space="preserve">Sub </w:t>
      </w:r>
      <w:r w:rsidRPr="003D6B19">
        <w:rPr>
          <w:b/>
          <w:bCs/>
        </w:rPr>
        <w:t>section</w:t>
      </w:r>
      <w:r w:rsidRPr="003D6B19">
        <w:rPr>
          <w:b/>
          <w:bCs/>
          <w:lang w:val="id-ID"/>
        </w:rPr>
        <w:t xml:space="preserve"> 2</w:t>
      </w:r>
    </w:p>
    <w:p w14:paraId="3153B9E6" w14:textId="63BC9170" w:rsidR="00E619D6" w:rsidRPr="003D6B19" w:rsidRDefault="00E619D6" w:rsidP="00E619D6">
      <w:pPr>
        <w:ind w:firstLine="709"/>
        <w:jc w:val="both"/>
        <w:rPr>
          <w:bCs/>
          <w:lang w:val="id-ID"/>
        </w:rPr>
      </w:pPr>
      <w:r w:rsidRPr="003D6B19">
        <w:rPr>
          <w:bCs/>
          <w:lang w:val="id-ID"/>
        </w:rPr>
        <w:t>Proper citation of other works should be made to avoid plagiarism. When referring to a reference</w:t>
      </w:r>
      <w:r w:rsidRPr="003D6B19">
        <w:rPr>
          <w:bCs/>
        </w:rPr>
        <w:t xml:space="preserve"> </w:t>
      </w:r>
      <w:r w:rsidRPr="003D6B19">
        <w:rPr>
          <w:bCs/>
          <w:lang w:val="id-ID"/>
        </w:rPr>
        <w:t xml:space="preserve">item, please use the reference number as in </w:t>
      </w:r>
      <w:r w:rsidRPr="003D6B19">
        <w:rPr>
          <w:bCs/>
          <w:lang w:val="id-ID"/>
        </w:rPr>
        <w:fldChar w:fldCharType="begin" w:fldLock="1"/>
      </w:r>
      <w:r w:rsidR="001C57FA">
        <w:rPr>
          <w:bCs/>
          <w:lang w:val="id-ID"/>
        </w:rPr>
        <w:instrText>ADDIN CSL_CITATION {"citationItems":[{"id":"ITEM-1","itemData":{"DOI":"10.1109/TITS.2019.2924883","ISSN":"15580016","abstract":"The technological landscape of intelligent transport systems (ITS) has been radically transformed by the emergence of the big data streams generated by the Internet of Things (IoT), smart sensors, surveillance feeds, social media, as well as growing infrastructure needs. It is timely and pertinent that ITS harness the potential of an artificial intelligence (AI) to develop the big data-driven smart traffic management solutions for effective decision-making. The existing AI techniques that function in isolation exhibit clear limitations in developing a comprehensive platform due to the dynamicity of big data streams, high-frequency unlabeled data generation from the heterogeneous data sources, and volatility of traffic conditions. In this paper, we propose an expansive smart traffic management platform (STMP) based on the unsupervised online incremental machine learning, deep learning, and deep reinforcement learning to address these limitations. The STMP integrates the heterogeneous big data streams, such as the IoT, smart sensors, and social media, to detect concept drifts, distinguish between the recurrent and non-recurrent traffic events, and impact propagation, traffic flow forecasting, commuter sentiment analysis, and optimized traffic control decisions. The platform is successfully demonstrated on 190 million records of smart sensor network traffic data generated by 545,851 commuters and corresponding social media data on the arterial road network of Victoria, Australia.","author":[{"dropping-particle":"","family":"Nallaperuma","given":"Dinithi","non-dropping-particle":"","parse-names":false,"suffix":""},{"dropping-particle":"","family":"Nawaratne","given":"Rashmika","non-dropping-particle":"","parse-names":false,"suffix":""},{"dropping-particle":"","family":"Bandaragoda","given":"Tharindu","non-dropping-particle":"","parse-names":false,"suffix":""},{"dropping-particle":"","family":"Adikari","given":"Achini","non-dropping-particle":"","parse-names":false,"suffix":""},{"dropping-particle":"","family":"Nguyen","given":"Su","non-dropping-particle":"","parse-names":false,"suffix":""},{"dropping-particle":"","family":"Kempitiya","given":"Thimal","non-dropping-particle":"","parse-names":false,"suffix":""},{"dropping-particle":"","family":"Silva","given":"Daswin","non-dropping-particle":"De","parse-names":false,"suffix":""},{"dropping-particle":"","family":"Alahakoon","given":"Damminda","non-dropping-particle":"","parse-names":false,"suffix":""},{"dropping-particle":"","family":"Pothuhera","given":"Dakshan","non-dropping-particle":"","parse-names":false,"suffix":""}],"container-title":"IEEE Transactions on Intelligent Transportation Systems","id":"ITEM-1","issue":"12","issued":{"date-parts":[["2019"]]},"page":"4679-4690","publisher":"IEEE","title":"Online Incremental Machine Learning Platform for Big Data-Driven Smart Traffic Management","type":"article-journal","volume":"20"},"uris":["http://www.mendeley.com/documents/?uuid=84011880-07e5-4d16-88ef-4a381d84498a","http://www.mendeley.com/documents/?uuid=ce0893b1-61d5-4441-bd5d-463a47cc4683","http://www.mendeley.com/documents/?uuid=7b8081b6-53e7-4d20-b202-0e11a70fe346"]}],"mendeley":{"formattedCitation":"[9]","plainTextFormattedCitation":"[9]","previouslyFormattedCitation":"[8]"},"properties":{"noteIndex":0},"schema":"https://github.com/citation-style-language/schema/raw/master/csl-citation.json"}</w:instrText>
      </w:r>
      <w:r w:rsidRPr="003D6B19">
        <w:rPr>
          <w:bCs/>
          <w:lang w:val="id-ID"/>
        </w:rPr>
        <w:fldChar w:fldCharType="separate"/>
      </w:r>
      <w:r w:rsidR="001C57FA" w:rsidRPr="001C57FA">
        <w:rPr>
          <w:bCs/>
          <w:noProof/>
          <w:lang w:val="id-ID"/>
        </w:rPr>
        <w:t>[9]</w:t>
      </w:r>
      <w:r w:rsidRPr="003D6B19">
        <w:rPr>
          <w:bCs/>
          <w:lang w:val="id-ID"/>
        </w:rPr>
        <w:fldChar w:fldCharType="end"/>
      </w:r>
      <w:r w:rsidRPr="003D6B19">
        <w:rPr>
          <w:bCs/>
          <w:lang w:val="id-ID"/>
        </w:rPr>
        <w:t xml:space="preserve"> or </w:t>
      </w:r>
      <w:r w:rsidRPr="003D6B19">
        <w:rPr>
          <w:bCs/>
          <w:lang w:val="id-ID"/>
        </w:rPr>
        <w:fldChar w:fldCharType="begin" w:fldLock="1"/>
      </w:r>
      <w:r w:rsidR="001C57FA">
        <w:rPr>
          <w:bCs/>
          <w:lang w:val="id-ID"/>
        </w:rPr>
        <w:instrText>ADDIN CSL_CITATION {"citationItems":[{"id":"ITEM-1","itemData":{"DOI":"10.1016/j.copbio.2018.08.003","ISSN":"18790429","PMID":"30153614","abstract":"Matrix-assisted laser desorption/ionization mass spectrometry imaging (MALDI MSI) has emerged as a key technology for label-free bioanalysis of the spatial distribution of biomolecules, pharmaceuticals and other xenobiotics in tissue sections. Recent advances in instrumentation, sample preparation, multimodal workflows, quantification, analytical standardization and ‘big data’ processing have led to widespread utilization of MALDI MSI in pharmaceutical research. These developments have led to applications of the technology in drug discovery beyond drug disposition analysis, most notably in pharmacodynamic biomarker research and in toxicology.","author":[{"dropping-particle":"","family":"Schulz","given":"Sandra","non-dropping-particle":"","parse-names":false,"suffix":""},{"dropping-particle":"","family":"Becker","given":"Michael","non-dropping-particle":"","parse-names":false,"suffix":""},{"dropping-particle":"","family":"Groseclose","given":"M. Reid","non-dropping-particle":"","parse-names":false,"suffix":""},{"dropping-particle":"","family":"Schadt","given":"Simone","non-dropping-particle":"","parse-names":false,"suffix":""},{"dropping-particle":"","family":"Hopf","given":"Carsten","non-dropping-particle":"","parse-names":false,"suffix":""}],"container-title":"Current Opinion in Biotechnology","id":"ITEM-1","issued":{"date-parts":[["2019"]]},"page":"51-59","publisher":"Elsevier Ltd","title":"Advanced MALDI mass spectrometry imaging in pharmaceutical research and drug development","type":"article-journal","volume":"55"},"uris":["http://www.mendeley.com/documents/?uuid=f5fe6c7e-85a6-44bf-a354-44af2e50ead0","http://www.mendeley.com/documents/?uuid=c2c5d2cf-cd3a-4063-93cd-7726385520e7","http://www.mendeley.com/documents/?uuid=90bba1bd-ccae-419f-a946-dbd6a6495f99"]}],"mendeley":{"formattedCitation":"[10]","plainTextFormattedCitation":"[10]","previouslyFormattedCitation":"[9]"},"properties":{"noteIndex":0},"schema":"https://github.com/citation-style-language/schema/raw/master/csl-citation.json"}</w:instrText>
      </w:r>
      <w:r w:rsidRPr="003D6B19">
        <w:rPr>
          <w:bCs/>
          <w:lang w:val="id-ID"/>
        </w:rPr>
        <w:fldChar w:fldCharType="separate"/>
      </w:r>
      <w:r w:rsidR="001C57FA" w:rsidRPr="001C57FA">
        <w:rPr>
          <w:bCs/>
          <w:noProof/>
          <w:lang w:val="id-ID"/>
        </w:rPr>
        <w:t>[10]</w:t>
      </w:r>
      <w:r w:rsidRPr="003D6B19">
        <w:rPr>
          <w:bCs/>
          <w:lang w:val="id-ID"/>
        </w:rPr>
        <w:fldChar w:fldCharType="end"/>
      </w:r>
      <w:r w:rsidRPr="003D6B19">
        <w:rPr>
          <w:bCs/>
        </w:rPr>
        <w:t xml:space="preserve"> </w:t>
      </w:r>
      <w:r w:rsidRPr="003D6B19">
        <w:rPr>
          <w:bCs/>
          <w:lang w:val="id-ID"/>
        </w:rPr>
        <w:t xml:space="preserve">for multiple references. The use of ”Ref </w:t>
      </w:r>
      <w:r w:rsidRPr="003D6B19">
        <w:rPr>
          <w:bCs/>
          <w:lang w:val="id-ID"/>
        </w:rPr>
        <w:fldChar w:fldCharType="begin" w:fldLock="1"/>
      </w:r>
      <w:r w:rsidR="001C57FA">
        <w:rPr>
          <w:bCs/>
          <w:lang w:val="id-ID"/>
        </w:rPr>
        <w:instrText>ADDIN CSL_CITATION {"citationItems":[{"id":"ITEM-1","itemData":{"DOI":"10.1016/j.eng.2019.01.019","ISSN":"20958099","abstract":"Safe, efficient, and sustainable operations and control are primary objectives in industrial manufacturing processes. State-of-the-art technologies heavily rely on human intervention, thereby showing apparent limitations in practice. The burgeoning era of big data is influencing the process industries tremendously, providing unprecedented opportunities to achieve smart manufacturing. This kind of manufacturing requires machines to not only be capable of relieving humans from intensive physical work, but also be effective in taking on intellectual labor and even producing innovations on their own. To attain this goal, data analytics and machine learning are indispensable. In this paper, we review recent advances in data analytics and machine learning applied to the monitoring, control, and optimization of industrial processes, paying particular attention to the interpretability and functionality of machine learning models. By analyzing the gap between practical requirements and the current research status, promising future research directions are identified.","author":[{"dropping-particle":"","family":"Shang","given":"Chao","non-dropping-particle":"","parse-names":false,"suffix":""},{"dropping-particle":"","family":"You","given":"Fengqi","non-dropping-particle":"","parse-names":false,"suffix":""}],"container-title":"Engineering","id":"ITEM-1","issue":"6","issued":{"date-parts":[["2019"]]},"page":"1010-1016","publisher":"Chinese Academy of Engineering","title":"Data Analytics and Machine Learning for Smart Process Manufacturing: Recent Advances and Perspectives in the Big Data Era","type":"article-journal","volume":"5"},"uris":["http://www.mendeley.com/documents/?uuid=72265640-48e8-4ec5-a62b-19b132377a67","http://www.mendeley.com/documents/?uuid=3cd4808b-b14e-45dc-be84-fec972c77460","http://www.mendeley.com/documents/?uuid=168e09a1-8d2a-4128-9340-3cc4b1cdda67"]}],"mendeley":{"formattedCitation":"[11]","plainTextFormattedCitation":"[11]","previouslyFormattedCitation":"[10]"},"properties":{"noteIndex":0},"schema":"https://github.com/citation-style-language/schema/raw/master/csl-citation.json"}</w:instrText>
      </w:r>
      <w:r w:rsidRPr="003D6B19">
        <w:rPr>
          <w:bCs/>
          <w:lang w:val="id-ID"/>
        </w:rPr>
        <w:fldChar w:fldCharType="separate"/>
      </w:r>
      <w:r w:rsidR="001C57FA" w:rsidRPr="001C57FA">
        <w:rPr>
          <w:bCs/>
          <w:noProof/>
          <w:lang w:val="id-ID"/>
        </w:rPr>
        <w:t>[11]</w:t>
      </w:r>
      <w:r w:rsidRPr="003D6B19">
        <w:rPr>
          <w:bCs/>
          <w:lang w:val="id-ID"/>
        </w:rPr>
        <w:fldChar w:fldCharType="end"/>
      </w:r>
      <w:r w:rsidRPr="003D6B19">
        <w:rPr>
          <w:bCs/>
          <w:lang w:val="id-ID"/>
        </w:rPr>
        <w:t>...”</w:t>
      </w:r>
      <w:r w:rsidRPr="003D6B19">
        <w:rPr>
          <w:bCs/>
        </w:rPr>
        <w:t xml:space="preserve"> </w:t>
      </w:r>
      <w:r w:rsidRPr="003D6B19">
        <w:rPr>
          <w:bCs/>
          <w:lang w:val="id-ID"/>
        </w:rPr>
        <w:t>should be employed for any reference citation at the beginning of sentence. For any reference with more than</w:t>
      </w:r>
      <w:r w:rsidRPr="003D6B19">
        <w:rPr>
          <w:bCs/>
        </w:rPr>
        <w:t xml:space="preserve"> </w:t>
      </w:r>
      <w:r w:rsidRPr="003D6B19">
        <w:rPr>
          <w:bCs/>
          <w:lang w:val="id-ID"/>
        </w:rPr>
        <w:t xml:space="preserve">3 or more authors, only the first author is to be written followed by </w:t>
      </w:r>
      <w:r w:rsidRPr="003D6B19">
        <w:rPr>
          <w:bCs/>
          <w:i/>
          <w:iCs/>
          <w:lang w:val="id-ID"/>
        </w:rPr>
        <w:t>et al</w:t>
      </w:r>
      <w:r w:rsidRPr="003D6B19">
        <w:rPr>
          <w:bCs/>
        </w:rPr>
        <w:t>.</w:t>
      </w:r>
      <w:r w:rsidRPr="003D6B19">
        <w:rPr>
          <w:bCs/>
          <w:lang w:val="id-ID"/>
        </w:rPr>
        <w:t xml:space="preserve"> (e.g. in </w:t>
      </w:r>
      <w:r w:rsidRPr="003D6B19">
        <w:rPr>
          <w:bCs/>
          <w:lang w:val="id-ID"/>
        </w:rPr>
        <w:fldChar w:fldCharType="begin" w:fldLock="1"/>
      </w:r>
      <w:r w:rsidR="001C57FA">
        <w:rPr>
          <w:bCs/>
          <w:lang w:val="id-ID"/>
        </w:rPr>
        <w:instrText>ADDIN CSL_CITATION {"citationItems":[{"id":"ITEM-1","itemData":{"DOI":"10.26599/BDMA.2019.9020007","ISSN":"20960654","abstract":"The explosion of digital healthcare data has led to a surge of data-driven medical research based on machine learning. In recent years, as a powerful technique for big data, deep learning has gained a central position in machine learning circles for its great advantages in feature representation and pattern recognition. This article presents a comprehensive overview of studies that employ deep learning methods to deal with clinical data. Firstly, based on the analysis of the characteristics of clinical data, various types of clinical data (e.g., medical images, clinical notes, lab results, vital signs, and demographic informatics) are discussed and details provided of some public clinical datasets. Secondly, a brief review of common deep learning models and their characteristics is conducted. Then, considering the wide range of clinical research and the diversity of data types, several deep learning applications for clinical data are illustrated: auxiliary diagnosis, prognosis, early warning, and other tasks. Although there are challenges involved in applying deep learning techniques to clinical data, it is still worthwhile to look forward to a promising future for deep learning applications in clinical big data in the direction of precision medicine.","author":[{"dropping-particle":"","family":"Yu","given":"Ying","non-dropping-particle":"","parse-names":false,"suffix":""},{"dropping-particle":"","family":"Li","given":"Min","non-dropping-particle":"","parse-names":false,"suffix":""},{"dropping-particle":"","family":"Liu","given":"Liangliang","non-dropping-particle":"","parse-names":false,"suffix":""},{"dropping-particle":"","family":"Li","given":"Yaohang","non-dropping-particle":"","parse-names":false,"suffix":""},{"dropping-particle":"","family":"Wang","given":"Jianxin","non-dropping-particle":"","parse-names":false,"suffix":""}],"container-title":"Big Data Mining and Analytics","id":"ITEM-1","issue":"4","issued":{"date-parts":[["2019"]]},"page":"288-305","title":"Clinical big data and deep learning: Applications, challenges, and future outlooks","type":"article-journal","volume":"2"},"uris":["http://www.mendeley.com/documents/?uuid=dc530d84-ac5a-4515-9d73-9b7787b32589","http://www.mendeley.com/documents/?uuid=1f5bb61b-5fab-41c1-a73f-e7697c238a86","http://www.mendeley.com/documents/?uuid=636877e4-653c-416b-9c07-031068fa42a7"]}],"mendeley":{"formattedCitation":"[12]","plainTextFormattedCitation":"[12]","previouslyFormattedCitation":"[11]"},"properties":{"noteIndex":0},"schema":"https://github.com/citation-style-language/schema/raw/master/csl-citation.json"}</w:instrText>
      </w:r>
      <w:r w:rsidRPr="003D6B19">
        <w:rPr>
          <w:bCs/>
          <w:lang w:val="id-ID"/>
        </w:rPr>
        <w:fldChar w:fldCharType="separate"/>
      </w:r>
      <w:r w:rsidR="001C57FA" w:rsidRPr="001C57FA">
        <w:rPr>
          <w:bCs/>
          <w:noProof/>
          <w:lang w:val="id-ID"/>
        </w:rPr>
        <w:t>[12]</w:t>
      </w:r>
      <w:r w:rsidRPr="003D6B19">
        <w:rPr>
          <w:bCs/>
          <w:lang w:val="id-ID"/>
        </w:rPr>
        <w:fldChar w:fldCharType="end"/>
      </w:r>
      <w:r w:rsidRPr="003D6B19">
        <w:rPr>
          <w:bCs/>
          <w:lang w:val="id-ID"/>
        </w:rPr>
        <w:t>). Examples of reference</w:t>
      </w:r>
      <w:r w:rsidRPr="003D6B19">
        <w:rPr>
          <w:bCs/>
        </w:rPr>
        <w:t xml:space="preserve"> </w:t>
      </w:r>
      <w:r w:rsidRPr="003D6B19">
        <w:rPr>
          <w:bCs/>
          <w:lang w:val="id-ID"/>
        </w:rPr>
        <w:t xml:space="preserve">items of different categories shown in the References section. </w:t>
      </w:r>
      <w:r w:rsidRPr="00735BBC">
        <w:rPr>
          <w:bCs/>
          <w:lang w:val="id-ID"/>
        </w:rPr>
        <w:t>Each item in</w:t>
      </w:r>
      <w:r w:rsidRPr="003D6B19">
        <w:rPr>
          <w:bCs/>
          <w:lang w:val="id-ID"/>
        </w:rPr>
        <w:t xml:space="preserve"> the references section should be</w:t>
      </w:r>
      <w:r w:rsidRPr="003D6B19">
        <w:rPr>
          <w:bCs/>
        </w:rPr>
        <w:t xml:space="preserve"> </w:t>
      </w:r>
      <w:r w:rsidRPr="003D6B19">
        <w:rPr>
          <w:bCs/>
          <w:lang w:val="id-ID"/>
        </w:rPr>
        <w:t xml:space="preserve">typed using </w:t>
      </w:r>
      <w:r w:rsidR="005C0292">
        <w:rPr>
          <w:bCs/>
        </w:rPr>
        <w:t>8</w:t>
      </w:r>
      <w:r w:rsidRPr="003D6B19">
        <w:rPr>
          <w:bCs/>
        </w:rPr>
        <w:t xml:space="preserve"> </w:t>
      </w:r>
      <w:r w:rsidRPr="003D6B19">
        <w:rPr>
          <w:bCs/>
          <w:lang w:val="id-ID"/>
        </w:rPr>
        <w:t>pt font size</w:t>
      </w:r>
      <w:r w:rsidRPr="003D6B19">
        <w:rPr>
          <w:bCs/>
        </w:rPr>
        <w:t xml:space="preserve"> </w:t>
      </w:r>
      <w:r w:rsidRPr="003D6B19">
        <w:rPr>
          <w:bCs/>
        </w:rPr>
        <w:fldChar w:fldCharType="begin" w:fldLock="1"/>
      </w:r>
      <w:r w:rsidR="001C57FA">
        <w:rPr>
          <w:bCs/>
        </w:rPr>
        <w:instrText>ADDIN CSL_CITATION {"citationItems":[{"id":"ITEM-1","itemData":{"DOI":"10.1109/ACCESS.2019.2899402","ISSN":"21693536","abstract":"In services-oriented computing networks, packets in the process of routing to a data center must wait for a sufficient amount of data before service aggregation to reduce the network transmission load. However, packets must be uploaded to the data center as soon as possible to reduce delay. With the exponential growth in the number of IoT connected devices, the wait time for packets is longer at routers due to massive amounts of data, which causes a large queuing delay. If this queuing time can be utilized for service aggregation in a service-oriented computing network, the network performance will be substantially improved. Therefore, a queuing delay utilization scheme for on-path service aggregation (SAQD) is proposed in this paper. This scheme has the following innovations: 1) SAQD fully utilizes the queuing delay of packets for service aggregation, which can effectively reduce the transmission volume and communication overhead. Based on the proposed service aggregation algorithm, packets are divided into forwarding packets and aggregating packets, and the service aggregation of aggregating packets is completed by utilizing the transmission time of forwarding packets to ensure that the transmission volume and communication overhead are effectively reduced without additional latency. 2) SAQD can effectively alleviate the traffic pressure of the data center and balance the workload of routers. By the service aggregation and intranet cache of routers, some requests for the data center can be handled by routers, which reduces the traffic pressure of the data center, especially in the peak period. Compared with conventional schemes, the experimental results demonstrate that SAQD reduces the workload of the data center by 55.8%-66.26% and provides users with a better quality of experience by reducing the request response delay by 31.33%51.41%.","author":[{"dropping-particle":"","family":"Huang","given":"Mingfeng","non-dropping-particle":"","parse-names":false,"suffix":""},{"dropping-particle":"","family":"Liu","given":"Wei","non-dropping-particle":"","parse-names":false,"suffix":""},{"dropping-particle":"","family":"Wang","given":"Tian","non-dropping-particle":"","parse-names":false,"suffix":""},{"dropping-particle":"","family":"Song","given":"Houbing","non-dropping-particle":"","parse-names":false,"suffix":""},{"dropping-particle":"","family":"Li","given":"Xiong","non-dropping-particle":"","parse-names":false,"suffix":""},{"dropping-particle":"","family":"Liu","given":"Anfeng","non-dropping-particle":"","parse-names":false,"suffix":""}],"container-title":"IEEE Access","id":"ITEM-1","issued":{"date-parts":[["2019"]]},"page":"23816-23833","publisher":"IEEE","title":"A queuing delay utilization scheme for on-path service aggregation in services-oriented computing networks","type":"article-journal","volume":"7"},"uris":["http://www.mendeley.com/documents/?uuid=1af4668e-cf37-4e48-aaac-7170d7a8cea1","http://www.mendeley.com/documents/?uuid=5dc867e9-b617-48c3-9e12-8c49280bc9e0","http://www.mendeley.com/documents/?uuid=d4274eaf-c650-4a8f-92bf-f2356414bab7"]},{"id":"ITEM-2","itemData":{"DOI":"10.3390/s19071711","ISSN":"14248220","PMID":"30974791","abstract":"Marine environment monitoring has attracted more and more attention due to the growing concern about climate change. During the past couple of decades, advanced information and communication technologies have been applied to the development of various marine environment monitoring systems. Among others, the Internet of Things (IoT) has been playing an important role in this area. This paper presents a review of the application of the Internet of Things in the field of marine environment monitoring. New technologies including advanced Big Data analytics and their applications in this area are briefly reviewed. It also discusses key research challenges and opportunities in this area, including the potential application of IoT and Big Data in marine environment protection.","author":[{"dropping-particle":"","family":"Xu","given":"Guobao","non-dropping-particle":"","parse-names":false,"suffix":""},{"dropping-particle":"","family":"Shi","given":"Yanjun","non-dropping-particle":"","parse-names":false,"suffix":""},{"dropping-particle":"","family":"Sun","given":"Xueyan","non-dropping-particle":"","parse-names":false,"suffix":""},{"dropping-particle":"","family":"Shen","given":"Weiming","non-dropping-particle":"","parse-names":false,"suffix":""}],"container-title":"Sensors (Switzerland)","id":"ITEM-2","issue":"7","issued":{"date-parts":[["2019"]]},"page":"1-21","title":"Internet of things in marine environment monitoring: A review","type":"article-journal","volume":"19"},"uris":["http://www.mendeley.com/documents/?uuid=4a9417a8-a2e7-4b45-9210-a4a912c84db7","http://www.mendeley.com/documents/?uuid=18ce4f06-4032-4bf1-9cbf-4744af20a1bc","http://www.mendeley.com/documents/?uuid=80c63ccc-6a1b-4dca-a96b-f05e43b20b9a"]},{"id":"ITEM-3","itemData":{"DOI":"10.3390/s19092206","ISBN":"9665370693","ISSN":"14248220","PMID":"31086055","abstract":"Road transportation is the backbone of modern economies, albeit it annually costs 1.25 million deaths and trillions of dollars to the global economy, and damages public health and the environment. Deep learning is among the leading-edge methods used for transportation-related predictions, however, the existing works are in their infancy, and fall short in multiple respects, including the use of datasets with limited sizes and scopes, and insufficient depth of the deep learning studies. This paper provides a novel and comprehensive approach toward large-scale, faster, and real-time traffic prediction by bringing four complementary cutting-edge technologies together: Big data, deep learning, in-memory computing, and Graphics Processing Units (GPUs). We trained deep networks using over 11 years of data provided by the California Department of Transportation (Caltrans), the largest dataset that has been used in deep learning studies. Several combinations of the input attributes of the data along with various network configurations of the deep learning models were investigated for training and prediction purposes. The use of the pre-trained model for real-time prediction was explored. The paper contributes novel deep learning models, algorithms, implementation, analytics methodology, and software tool for smart cities, big data, high performance computing, and their convergence.","author":[{"dropping-particle":"","family":"Aqib","given":"Muhammad","non-dropping-particle":"","parse-names":false,"suffix":""},{"dropping-particle":"","family":"Mehmood","given":"Rashid","non-dropping-particle":"","parse-names":false,"suffix":""},{"dropping-particle":"","family":"Alzahrani","given":"Ahmed","non-dropping-particle":"","parse-names":false,"suffix":""},{"dropping-particle":"","family":"Katib","given":"Iyad","non-dropping-particle":"","parse-names":false,"suffix":""},{"dropping-particle":"","family":"Albeshri","given":"Aiiad","non-dropping-particle":"","parse-names":false,"suffix":""},{"dropping-particle":"","family":"Altowaijri","given":"Saleh M.","non-dropping-particle":"","parse-names":false,"suffix":""}],"container-title":"Sensors (Switzerland)","id":"ITEM-3","issue":"9","issued":{"date-parts":[["2019"]]},"number-of-pages":"1-34","title":"Smarter traffic prediction using big data, in-memory computing, deep learning and gpus","type":"book","volume":"19"},"uris":["http://www.mendeley.com/documents/?uuid=9c01dc08-28f9-4055-acc8-bddbf4c80c7a","http://www.mendeley.com/documents/?uuid=67a20b25-33a7-4252-a789-5f1252a19c0f","http://www.mendeley.com/documents/?uuid=6c49267d-6cd3-424b-9f9e-1f0c39e0b775"]},{"id":"ITEM-4","itemData":{"abstract":"This groundbreaking, open access volume analyses and compares data practices across several fields through the analysis of specific cases of data journeys. It brings together leading scholars in the philosophy, history and social studies of science to achieve two goals: tracking the travel of data across different spaces, times and domains of research practice; and documenting how such journeys affect the use of data as evidence and the knowledge being produced. The volume captures the opportunities, challenges and concerns involved in making data move from the sites in which they are originally produced to sites where they can be integrated with other data, analysed and re-used for a variety of purposes. The in-depth study of data journeys provides the necessary ground to examine disciplinary, geographical and historical differences and similarities in data management, processing and interpretation, thus identifying the key conditions of possibility for the widespread data sharing associated with Big and Open Data. The chapters are ordered in sections that broadly correspond to different stages of the journeys of data, from their generation to the legitimisation of their use for specific purposes. Additionally, the preface to the volume provides a variety of alternative “roadmaps” aimed to serve the different interests and entry points of readers; and the introduction provides a substantive overview of what data journeys can teach about the methods and epistemology of research.","author":[{"dropping-particle":"","family":"Leonelli","given":"Sabina","non-dropping-particle":"","parse-names":false,"suffix":""},{"dropping-particle":"","family":"Tempini","given":"Niccolò","non-dropping-particle":"","parse-names":false,"suffix":""}],"id":"ITEM-4","issued":{"date-parts":[["2020"]]},"number-of-pages":"27-44","title":"Data Journeys in the Sciences","type":"book"},"uris":["http://www.mendeley.com/documents/?uuid=9f5cf8f4-5c83-4c60-96e6-53325754ac4d","http://www.mendeley.com/documents/?uuid=c39f48bc-96b7-401a-929d-a7bc49bcb5e8","http://www.mendeley.com/documents/?uuid=64c76133-be96-4306-8376-8c8993c873de"]},{"id":"ITEM-5","itemData":{"author":[{"dropping-particle":"","family":"Stylos","given":"Nikolaos","non-dropping-particle":"","parse-names":false,"suffix":""},{"dropping-particle":"","family":"Zwiegelaar","given":"Jeremy","non-dropping-particle":"","parse-names":false,"suffix":""}],"id":"ITEM-5","issued":{"date-parts":[["2019"]]},"number-of-pages":"163-181","title":"Big Data as a Game Changer: How Does It Shape Business Intelligence Within a Tourism and Hospitality Industry Context?","type":"book"},"uris":["http://www.mendeley.com/documents/?uuid=6e4f0ab0-a592-4a04-a0ed-5d33ecdd2e1c","http://www.mendeley.com/documents/?uuid=52077a25-85b9-4775-b0cd-c824aeea58bd","http://www.mendeley.com/documents/?uuid=f1022fdc-2e5a-4d30-ac20-e679003b4f3c"]},{"id":"ITEM-6","itemData":{"ISSN":"23318422","abstract":"Tensor completion is a problem of filling the missing or unobserved entries of partially observed tensors. Due to the multidimensional character of tensors in describing complex datasets, tensor completion algorithms and their applications have received wide attention and achievement in areas like data mining, computer vision, signal processing, and neuroscience. In this survey, we provide a modern overview of recent advances in tensor completion algorithms from the perspective of big data analytics characterized by diverse variety, large volume, and high velocity. We characterize these advances from four perspectives: general tensor completion algorithms, tensor completion with auxiliary information (variety), scalable tensor completion algorithms (volume), and dynamic tensor completion algorithms (velocity). Further, we identify several tensor completion applications on real-world data-driven problems and present some common experimental frameworks popularized in the literature. Our goal is to summarize these popular methods and introduce them to researchers and practitioners for promoting future research and applications. We conclude with a discussion of key challenges and promising research directions in this community for future exploration.","author":[{"dropping-particle":"","family":"Song","given":"Qingquan","non-dropping-particle":"","parse-names":false,"suffix":""},{"dropping-particle":"","family":"Ge","given":"Hancheng","non-dropping-particle":"","parse-names":false,"suffix":""},{"dropping-particle":"","family":"Caverlee","given":"James","non-dropping-particle":"","parse-names":false,"suffix":""},{"dropping-particle":"","family":"Hu","given":"Xia","non-dropping-particle":"","parse-names":false,"suffix":""}],"container-title":"arXiv","id":"ITEM-6","issue":"1","issued":{"date-parts":[["2017"]]},"title":"Tensor completion algorithms in big data analytics","type":"article-journal","volume":"13"},"uris":["http://www.mendeley.com/documents/?uuid=27a05a45-94b5-4818-b3eb-005b6528df75","http://www.mendeley.com/documents/?uuid=e7951ce7-0a48-4bd3-8f7c-3fcac40e85e0","http://www.mendeley.com/documents/?uuid=d5bff188-0425-4990-811b-003727d0d4d4"]}],"mendeley":{"formattedCitation":"[13], [14], [15], [16], [17], [18]","plainTextFormattedCitation":"[13], [14], [15], [16], [17], [18]","previouslyFormattedCitation":"[12], [13], [14], [15], [16], [17]"},"properties":{"noteIndex":0},"schema":"https://github.com/citation-style-language/schema/raw/master/csl-citation.json"}</w:instrText>
      </w:r>
      <w:r w:rsidRPr="003D6B19">
        <w:rPr>
          <w:bCs/>
        </w:rPr>
        <w:fldChar w:fldCharType="separate"/>
      </w:r>
      <w:r w:rsidR="001C57FA" w:rsidRPr="001C57FA">
        <w:rPr>
          <w:bCs/>
          <w:noProof/>
        </w:rPr>
        <w:t>[13], [14], [15], [16], [17], [18]</w:t>
      </w:r>
      <w:r w:rsidRPr="003D6B19">
        <w:rPr>
          <w:bCs/>
        </w:rPr>
        <w:fldChar w:fldCharType="end"/>
      </w:r>
      <w:r w:rsidRPr="003D6B19">
        <w:rPr>
          <w:bCs/>
          <w:lang w:val="id-ID"/>
        </w:rPr>
        <w:t>.</w:t>
      </w:r>
    </w:p>
    <w:p w14:paraId="740F6FB0" w14:textId="73C6FD84" w:rsidR="00E619D6" w:rsidRDefault="00E619D6" w:rsidP="00E619D6">
      <w:pPr>
        <w:ind w:firstLine="720"/>
        <w:jc w:val="both"/>
        <w:rPr>
          <w:bCs/>
          <w:lang w:val="id-ID"/>
        </w:rPr>
      </w:pPr>
    </w:p>
    <w:p w14:paraId="33F8B7D3" w14:textId="77777777" w:rsidR="00760506" w:rsidRPr="003D6B19" w:rsidRDefault="00760506" w:rsidP="00E619D6">
      <w:pPr>
        <w:ind w:firstLine="720"/>
        <w:jc w:val="both"/>
        <w:rPr>
          <w:bCs/>
          <w:lang w:val="id-ID"/>
        </w:rPr>
      </w:pPr>
    </w:p>
    <w:p w14:paraId="0F3CA98D"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3.2.1.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1</w:t>
      </w:r>
    </w:p>
    <w:p w14:paraId="25414E61" w14:textId="77777777" w:rsidR="00E619D6" w:rsidRPr="003D6B19" w:rsidRDefault="00E619D6" w:rsidP="00E619D6">
      <w:pPr>
        <w:ind w:firstLine="720"/>
        <w:jc w:val="both"/>
        <w:rPr>
          <w:rStyle w:val="fontstyle01"/>
          <w:rFonts w:ascii="Times New Roman" w:hAnsi="Times New Roman"/>
        </w:rPr>
      </w:pPr>
      <w:r w:rsidRPr="003D6B19">
        <w:rPr>
          <w:lang w:val="id-ID"/>
        </w:rPr>
        <w:t>yy</w:t>
      </w:r>
      <w:r w:rsidRPr="003D6B19">
        <w:rPr>
          <w:color w:val="000000"/>
        </w:rPr>
        <w:br/>
      </w:r>
    </w:p>
    <w:p w14:paraId="5568B601" w14:textId="77777777" w:rsidR="00E619D6" w:rsidRPr="003D6B19" w:rsidRDefault="00E619D6" w:rsidP="00E619D6">
      <w:pPr>
        <w:rPr>
          <w:rStyle w:val="fontstyle21"/>
          <w:rFonts w:ascii="Times New Roman" w:hAnsi="Times New Roman"/>
        </w:rPr>
      </w:pPr>
      <w:r w:rsidRPr="003D6B19">
        <w:rPr>
          <w:rStyle w:val="fontstyle01"/>
          <w:rFonts w:ascii="Times New Roman" w:hAnsi="Times New Roman"/>
        </w:rPr>
        <w:t xml:space="preserve">3.2.2. </w:t>
      </w:r>
      <w:proofErr w:type="spellStart"/>
      <w:r w:rsidRPr="003D6B19">
        <w:rPr>
          <w:rStyle w:val="fontstyle01"/>
          <w:rFonts w:ascii="Times New Roman" w:hAnsi="Times New Roman"/>
        </w:rPr>
        <w:t>Subsub</w:t>
      </w:r>
      <w:proofErr w:type="spellEnd"/>
      <w:r w:rsidRPr="003D6B19">
        <w:rPr>
          <w:rStyle w:val="fontstyle01"/>
          <w:rFonts w:ascii="Times New Roman" w:hAnsi="Times New Roman"/>
        </w:rPr>
        <w:t xml:space="preserve"> section 2</w:t>
      </w:r>
    </w:p>
    <w:p w14:paraId="2D1B2B3E" w14:textId="77777777" w:rsidR="00E619D6" w:rsidRPr="003D6B19" w:rsidRDefault="00E619D6" w:rsidP="00E619D6">
      <w:pPr>
        <w:ind w:firstLine="720"/>
        <w:jc w:val="both"/>
        <w:rPr>
          <w:b/>
          <w:bCs/>
        </w:rPr>
      </w:pPr>
      <w:proofErr w:type="spellStart"/>
      <w:r w:rsidRPr="003D6B19">
        <w:t>zz</w:t>
      </w:r>
      <w:proofErr w:type="spellEnd"/>
    </w:p>
    <w:p w14:paraId="0656AC10" w14:textId="77777777" w:rsidR="00E619D6" w:rsidRPr="003D6B19" w:rsidRDefault="00E619D6" w:rsidP="00E619D6">
      <w:pPr>
        <w:rPr>
          <w:lang w:val="id-ID"/>
        </w:rPr>
      </w:pPr>
    </w:p>
    <w:p w14:paraId="4613A0AD" w14:textId="77777777" w:rsidR="00E619D6" w:rsidRPr="003D6B19" w:rsidRDefault="00E619D6" w:rsidP="00E619D6">
      <w:pPr>
        <w:rPr>
          <w:lang w:val="id-ID"/>
        </w:rPr>
      </w:pPr>
    </w:p>
    <w:p w14:paraId="7A07F5E5" w14:textId="77777777" w:rsidR="00E619D6" w:rsidRPr="003D6B19" w:rsidRDefault="00E619D6" w:rsidP="00E619D6">
      <w:pPr>
        <w:numPr>
          <w:ilvl w:val="0"/>
          <w:numId w:val="15"/>
        </w:numPr>
        <w:tabs>
          <w:tab w:val="left" w:pos="426"/>
        </w:tabs>
        <w:ind w:left="426" w:hanging="426"/>
        <w:rPr>
          <w:b/>
          <w:bCs/>
          <w:lang w:val="id-ID"/>
        </w:rPr>
      </w:pPr>
      <w:r w:rsidRPr="003D6B19">
        <w:rPr>
          <w:b/>
          <w:bCs/>
          <w:lang w:val="id-ID"/>
        </w:rPr>
        <w:t>CONCLUSION</w:t>
      </w:r>
      <w:r w:rsidRPr="003D6B19">
        <w:rPr>
          <w:b/>
          <w:bCs/>
        </w:rPr>
        <w:t xml:space="preserve"> (10 PT)</w:t>
      </w:r>
    </w:p>
    <w:p w14:paraId="7A7E94F0" w14:textId="290756E0" w:rsidR="00E619D6" w:rsidRPr="003D6B19" w:rsidRDefault="00684F04" w:rsidP="00354A58">
      <w:pPr>
        <w:ind w:firstLine="709"/>
        <w:jc w:val="both"/>
        <w:rPr>
          <w:lang w:val="id-ID"/>
        </w:rPr>
      </w:pPr>
      <w:r w:rsidRPr="00684F04">
        <w:rPr>
          <w:lang w:val="id-ID"/>
        </w:rPr>
        <w:t>Penelitian ini berhasil menunjukkan bahwa model Indolem/indobert-base-uncased lebih efektif untuk tugas NER pada dokumen hukum berbahasa Indonesia dibandingkan model Indobenchmark/indobert-base-p2</w:t>
      </w:r>
      <w:r w:rsidRPr="00684F04">
        <w:rPr>
          <w:rFonts w:ascii="MS Gothic" w:eastAsia="MS Gothic" w:hAnsi="MS Gothic" w:cs="MS Gothic" w:hint="eastAsia"/>
          <w:lang w:val="id-ID"/>
        </w:rPr>
        <w:t>【</w:t>
      </w:r>
      <w:r w:rsidRPr="00684F04">
        <w:rPr>
          <w:lang w:val="id-ID"/>
        </w:rPr>
        <w:t>26</w:t>
      </w:r>
      <w:r w:rsidRPr="00684F04">
        <w:rPr>
          <w:rFonts w:ascii="MS Gothic" w:eastAsia="MS Gothic" w:hAnsi="MS Gothic" w:cs="MS Gothic" w:hint="eastAsia"/>
          <w:lang w:val="id-ID"/>
        </w:rPr>
        <w:t>】</w:t>
      </w:r>
      <w:r w:rsidRPr="00684F04">
        <w:rPr>
          <w:lang w:val="id-ID"/>
        </w:rPr>
        <w:t>. Hasil ini memberikan kontribusi penting bagi pengembangan teknologi pemrosesan bahasa alami dalam konteks hukum di Indonesia</w:t>
      </w:r>
      <w:r w:rsidRPr="00684F04">
        <w:rPr>
          <w:rFonts w:ascii="MS Gothic" w:eastAsia="MS Gothic" w:hAnsi="MS Gothic" w:cs="MS Gothic" w:hint="eastAsia"/>
          <w:lang w:val="id-ID"/>
        </w:rPr>
        <w:t>【</w:t>
      </w:r>
      <w:r w:rsidRPr="00684F04">
        <w:rPr>
          <w:lang w:val="id-ID"/>
        </w:rPr>
        <w:t>27</w:t>
      </w:r>
      <w:r w:rsidRPr="00684F04">
        <w:rPr>
          <w:rFonts w:ascii="MS Gothic" w:eastAsia="MS Gothic" w:hAnsi="MS Gothic" w:cs="MS Gothic" w:hint="eastAsia"/>
          <w:lang w:val="id-ID"/>
        </w:rPr>
        <w:t>】</w:t>
      </w:r>
      <w:r w:rsidRPr="00684F04">
        <w:rPr>
          <w:lang w:val="id-ID"/>
        </w:rPr>
        <w:t>. Selain itu, penelitian ini juga menunjukkan potensi penerapan model deep learning untuk meningkatkan efisiensi analisis dokumen hukum, yang dapat diimplementasikan oleh lembaga kehakiman seperti Mahkamah Agung untuk mendukung proses hukum yang lebih cepat dan akurat</w:t>
      </w:r>
      <w:r w:rsidRPr="00684F04">
        <w:rPr>
          <w:rFonts w:ascii="MS Gothic" w:eastAsia="MS Gothic" w:hAnsi="MS Gothic" w:cs="MS Gothic" w:hint="eastAsia"/>
          <w:lang w:val="id-ID"/>
        </w:rPr>
        <w:t>【</w:t>
      </w:r>
      <w:r w:rsidRPr="00684F04">
        <w:rPr>
          <w:lang w:val="id-ID"/>
        </w:rPr>
        <w:t>28</w:t>
      </w:r>
      <w:r w:rsidRPr="00684F04">
        <w:rPr>
          <w:rFonts w:ascii="MS Gothic" w:eastAsia="MS Gothic" w:hAnsi="MS Gothic" w:cs="MS Gothic" w:hint="eastAsia"/>
          <w:lang w:val="id-ID"/>
        </w:rPr>
        <w:t>】</w:t>
      </w:r>
      <w:r w:rsidRPr="00684F04">
        <w:rPr>
          <w:lang w:val="id-ID"/>
        </w:rPr>
        <w:t>. Prospek pengembangan lebih lanjut meliputi pengaplikasian model ini pada jenis dokumen hukum lainnya dan peningkatan akurasi dengan pelatihan pada dataset yang lebih besar dan beragam</w:t>
      </w:r>
      <w:r w:rsidRPr="00684F04">
        <w:rPr>
          <w:rFonts w:ascii="MS Gothic" w:eastAsia="MS Gothic" w:hAnsi="MS Gothic" w:cs="MS Gothic" w:hint="eastAsia"/>
          <w:lang w:val="id-ID"/>
        </w:rPr>
        <w:t>【</w:t>
      </w:r>
      <w:r w:rsidRPr="00684F04">
        <w:rPr>
          <w:lang w:val="id-ID"/>
        </w:rPr>
        <w:t>29</w:t>
      </w:r>
      <w:r w:rsidRPr="00684F04">
        <w:rPr>
          <w:rFonts w:ascii="MS Gothic" w:eastAsia="MS Gothic" w:hAnsi="MS Gothic" w:cs="MS Gothic" w:hint="eastAsia"/>
          <w:lang w:val="id-ID"/>
        </w:rPr>
        <w:t>】</w:t>
      </w:r>
      <w:r w:rsidRPr="00684F04">
        <w:rPr>
          <w:lang w:val="id-ID"/>
        </w:rPr>
        <w:t>.</w:t>
      </w:r>
    </w:p>
    <w:p w14:paraId="1B388F68" w14:textId="77777777" w:rsidR="00354A58" w:rsidRPr="003D6B19" w:rsidRDefault="00354A58" w:rsidP="00354A58">
      <w:pPr>
        <w:ind w:firstLine="709"/>
        <w:jc w:val="both"/>
        <w:rPr>
          <w:b/>
          <w:bCs/>
        </w:rPr>
      </w:pPr>
    </w:p>
    <w:p w14:paraId="6524B611" w14:textId="77777777" w:rsidR="00E619D6" w:rsidRPr="003D6B19" w:rsidRDefault="00E619D6" w:rsidP="00E619D6">
      <w:pPr>
        <w:rPr>
          <w:b/>
          <w:bCs/>
        </w:rPr>
      </w:pPr>
    </w:p>
    <w:p w14:paraId="4C69A62F" w14:textId="77777777" w:rsidR="00E619D6" w:rsidRPr="003D6B19" w:rsidRDefault="00E619D6" w:rsidP="00E619D6">
      <w:pPr>
        <w:rPr>
          <w:rStyle w:val="apple-style-span"/>
          <w:b/>
          <w:color w:val="000000"/>
          <w:lang w:val="pt-BR"/>
        </w:rPr>
      </w:pPr>
      <w:r w:rsidRPr="003D6B19">
        <w:rPr>
          <w:rStyle w:val="apple-style-span"/>
          <w:b/>
          <w:color w:val="000000"/>
          <w:lang w:val="pt-BR"/>
        </w:rPr>
        <w:t xml:space="preserve">ACKNOWLEDGEMENTS </w:t>
      </w:r>
      <w:r w:rsidRPr="003D6B19">
        <w:rPr>
          <w:b/>
          <w:bCs/>
        </w:rPr>
        <w:t>(10 PT)</w:t>
      </w:r>
    </w:p>
    <w:p w14:paraId="54AE7F84" w14:textId="331FB080" w:rsidR="00354A58" w:rsidRPr="003D6B19" w:rsidRDefault="00E94443" w:rsidP="00354A58">
      <w:pPr>
        <w:ind w:firstLine="720"/>
        <w:jc w:val="both"/>
        <w:rPr>
          <w:rStyle w:val="apple-style-span"/>
          <w:bCs/>
          <w:color w:val="000000"/>
          <w:lang w:val="pt-BR"/>
        </w:rPr>
      </w:pPr>
      <w:bookmarkStart w:id="8" w:name="_Hlk78354940"/>
      <w:r w:rsidRPr="00735BBC">
        <w:t>Author</w:t>
      </w:r>
      <w:r w:rsidRPr="00E94443">
        <w:t xml:space="preserve"> thanks </w:t>
      </w:r>
      <w:proofErr w:type="gramStart"/>
      <w:r w:rsidRPr="00E94443">
        <w:t xml:space="preserve">... </w:t>
      </w:r>
      <w:r>
        <w:t>.</w:t>
      </w:r>
      <w:proofErr w:type="gramEnd"/>
      <w:r w:rsidRPr="00E94443">
        <w:t xml:space="preserve"> In most cases, sponsor and financial support acknowledgments</w:t>
      </w:r>
      <w:r>
        <w:t>.</w:t>
      </w:r>
    </w:p>
    <w:bookmarkEnd w:id="8"/>
    <w:p w14:paraId="3B8CC628" w14:textId="455ED99F" w:rsidR="00E619D6" w:rsidRPr="003D6B19" w:rsidRDefault="00E619D6" w:rsidP="00354A58">
      <w:pPr>
        <w:ind w:firstLine="720"/>
        <w:jc w:val="both"/>
        <w:rPr>
          <w:rStyle w:val="apple-style-span"/>
          <w:bCs/>
          <w:color w:val="000000"/>
          <w:lang w:val="pt-BR"/>
        </w:rPr>
      </w:pPr>
    </w:p>
    <w:p w14:paraId="7D00C0C1" w14:textId="719B7A32" w:rsidR="005D15FA" w:rsidRPr="005D15FA" w:rsidRDefault="00354A58" w:rsidP="00354A58">
      <w:pPr>
        <w:jc w:val="both"/>
        <w:rPr>
          <w:b/>
          <w:color w:val="000000"/>
          <w:lang w:val="pt-BR"/>
        </w:rPr>
      </w:pPr>
      <w:bookmarkStart w:id="9" w:name="_Hlk78354977"/>
      <w:r w:rsidRPr="003D6B19">
        <w:rPr>
          <w:rStyle w:val="apple-style-span"/>
          <w:b/>
          <w:color w:val="000000"/>
          <w:lang w:val="pt-BR"/>
        </w:rPr>
        <w:t>REFERENCES</w:t>
      </w:r>
    </w:p>
    <w:bookmarkEnd w:id="9"/>
    <w:p w14:paraId="55AE2CAE" w14:textId="6DCCF5D6" w:rsidR="001C57FA" w:rsidRPr="001C57FA" w:rsidRDefault="00E619D6" w:rsidP="001C57FA">
      <w:pPr>
        <w:widowControl w:val="0"/>
        <w:autoSpaceDE w:val="0"/>
        <w:autoSpaceDN w:val="0"/>
        <w:adjustRightInd w:val="0"/>
        <w:ind w:left="640" w:hanging="640"/>
        <w:rPr>
          <w:noProof/>
          <w:sz w:val="16"/>
        </w:rPr>
      </w:pPr>
      <w:r w:rsidRPr="00C523CB">
        <w:rPr>
          <w:color w:val="000000"/>
          <w:sz w:val="16"/>
          <w:szCs w:val="16"/>
        </w:rPr>
        <w:fldChar w:fldCharType="begin" w:fldLock="1"/>
      </w:r>
      <w:r w:rsidRPr="00C523CB">
        <w:rPr>
          <w:color w:val="000000"/>
          <w:sz w:val="16"/>
          <w:szCs w:val="16"/>
        </w:rPr>
        <w:instrText xml:space="preserve">ADDIN Mendeley Bibliography CSL_BIBLIOGRAPHY </w:instrText>
      </w:r>
      <w:r w:rsidRPr="00C523CB">
        <w:rPr>
          <w:color w:val="000000"/>
          <w:sz w:val="16"/>
          <w:szCs w:val="16"/>
        </w:rPr>
        <w:fldChar w:fldCharType="separate"/>
      </w:r>
      <w:r w:rsidR="001C57FA" w:rsidRPr="001C57FA">
        <w:rPr>
          <w:noProof/>
          <w:sz w:val="16"/>
        </w:rPr>
        <w:t>[1]</w:t>
      </w:r>
      <w:r w:rsidR="001C57FA" w:rsidRPr="001C57FA">
        <w:rPr>
          <w:noProof/>
          <w:sz w:val="16"/>
        </w:rPr>
        <w:tab/>
        <w:t xml:space="preserve">F. Solihin, I. Budi, R. F. Aji, and E. Makarim, “Advancement of information extraction use in legal documents,” </w:t>
      </w:r>
      <w:r w:rsidR="001C57FA" w:rsidRPr="001C57FA">
        <w:rPr>
          <w:i/>
          <w:iCs/>
          <w:noProof/>
          <w:sz w:val="16"/>
        </w:rPr>
        <w:t>Int. Rev. Law, Comput. Technol.</w:t>
      </w:r>
      <w:r w:rsidR="001C57FA" w:rsidRPr="001C57FA">
        <w:rPr>
          <w:noProof/>
          <w:sz w:val="16"/>
        </w:rPr>
        <w:t>, vol. 35, no. 3, pp. 322–351, 2021, doi: 10.1080/13600869.2021.1964225.</w:t>
      </w:r>
    </w:p>
    <w:p w14:paraId="15F4F830"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[2]</w:t>
      </w:r>
      <w:r w:rsidRPr="001C57FA">
        <w:rPr>
          <w:noProof/>
          <w:sz w:val="16"/>
        </w:rPr>
        <w:tab/>
        <w:t xml:space="preserve">F. Solihin and I. Budi, “Recording of law enforcement based on court decision document using rule-based information extraction,” </w:t>
      </w:r>
      <w:r w:rsidRPr="001C57FA">
        <w:rPr>
          <w:i/>
          <w:iCs/>
          <w:noProof/>
          <w:sz w:val="16"/>
        </w:rPr>
        <w:t>2018 Int. Conf. Adv. Comput. Sci. Inf. Syst. ICACSIS 2018</w:t>
      </w:r>
      <w:r w:rsidRPr="001C57FA">
        <w:rPr>
          <w:noProof/>
          <w:sz w:val="16"/>
        </w:rPr>
        <w:t>, pp. 349–354, 2019, doi: 10.1109/ICACSIS.2018.8618187.</w:t>
      </w:r>
    </w:p>
    <w:p w14:paraId="71E20F45"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[3]</w:t>
      </w:r>
      <w:r w:rsidRPr="001C57FA">
        <w:rPr>
          <w:noProof/>
          <w:sz w:val="16"/>
        </w:rPr>
        <w:tab/>
        <w:t>“Direktori Putusan.” Accessed: Mar. 30, 2024. [Online]. Available: https://putusan3.mahkamahagung.go.id/</w:t>
      </w:r>
    </w:p>
    <w:p w14:paraId="0870AF00"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[4]</w:t>
      </w:r>
      <w:r w:rsidRPr="001C57FA">
        <w:rPr>
          <w:noProof/>
          <w:sz w:val="16"/>
        </w:rPr>
        <w:tab/>
        <w:t xml:space="preserve">E. Qadri Nuranti and E. Yulianti, “Legal Entity Recognition in Indonesian Court Decision Documents Using Bi-LSTM and CRF Approaches,” </w:t>
      </w:r>
      <w:r w:rsidRPr="001C57FA">
        <w:rPr>
          <w:i/>
          <w:iCs/>
          <w:noProof/>
          <w:sz w:val="16"/>
        </w:rPr>
        <w:t>2020 Int. Conf. Adv. Comput. Sci. Inf. Syst.</w:t>
      </w:r>
      <w:r w:rsidRPr="001C57FA">
        <w:rPr>
          <w:noProof/>
          <w:sz w:val="16"/>
        </w:rPr>
        <w:t>, 2020, doi: 10.1109/ICACSIS51025.2020.9263157.</w:t>
      </w:r>
    </w:p>
    <w:p w14:paraId="65F639E3"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[5]</w:t>
      </w:r>
      <w:r w:rsidRPr="001C57FA">
        <w:rPr>
          <w:noProof/>
          <w:sz w:val="16"/>
        </w:rPr>
        <w:tab/>
        <w:t xml:space="preserve">C. Berragan, A. Singleton, A. Calafiore, and J. Morley, “Transformer based named entity recognition for place name extraction from unstructured text,” </w:t>
      </w:r>
      <w:r w:rsidRPr="001C57FA">
        <w:rPr>
          <w:i/>
          <w:iCs/>
          <w:noProof/>
          <w:sz w:val="16"/>
        </w:rPr>
        <w:t>Int. J. Geogr. Inf. Sci.</w:t>
      </w:r>
      <w:r w:rsidRPr="001C57FA">
        <w:rPr>
          <w:noProof/>
          <w:sz w:val="16"/>
        </w:rPr>
        <w:t>, vol. 37, no. 4, pp. 747–766, 2023, doi: 10.1080/13658816.2022.2133125.</w:t>
      </w:r>
    </w:p>
    <w:p w14:paraId="32179DB8"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[6]</w:t>
      </w:r>
      <w:r w:rsidRPr="001C57FA">
        <w:rPr>
          <w:noProof/>
          <w:sz w:val="16"/>
        </w:rPr>
        <w:tab/>
        <w:t xml:space="preserve">C. Sun, Z. Yang, L. Wang, Y. Zhang, H. Lin, and J. Wang, “Biomedical named entity recognition using BERT in the machine reading comprehension framework,” </w:t>
      </w:r>
      <w:r w:rsidRPr="001C57FA">
        <w:rPr>
          <w:i/>
          <w:iCs/>
          <w:noProof/>
          <w:sz w:val="16"/>
        </w:rPr>
        <w:t>J. Biomed. Inform.</w:t>
      </w:r>
      <w:r w:rsidRPr="001C57FA">
        <w:rPr>
          <w:noProof/>
          <w:sz w:val="16"/>
        </w:rPr>
        <w:t>, vol. 118, no. April, p. 103799, 2021, doi: 10.1016/j.jbi.2021.103799.</w:t>
      </w:r>
    </w:p>
    <w:p w14:paraId="4F0A7708"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[7]</w:t>
      </w:r>
      <w:r w:rsidRPr="001C57FA">
        <w:rPr>
          <w:noProof/>
          <w:sz w:val="16"/>
        </w:rPr>
        <w:tab/>
        <w:t xml:space="preserve">F. Koto, A. Rahimi, J. H. Lau, and T. Baldwin, “IndoLEM and IndoBERT: A Benchmark Dataset and Pre-trained Language Model for Indonesian NLP,” </w:t>
      </w:r>
      <w:r w:rsidRPr="001C57FA">
        <w:rPr>
          <w:i/>
          <w:iCs/>
          <w:noProof/>
          <w:sz w:val="16"/>
        </w:rPr>
        <w:t>COLING 2020 - 28th Int. Conf. Comput. Linguist. Proc. Conf.</w:t>
      </w:r>
      <w:r w:rsidRPr="001C57FA">
        <w:rPr>
          <w:noProof/>
          <w:sz w:val="16"/>
        </w:rPr>
        <w:t>, pp. 757–770, 2020, doi: 10.18653/v1/2020.coling-main.66.</w:t>
      </w:r>
    </w:p>
    <w:p w14:paraId="5F8549EB"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[8]</w:t>
      </w:r>
      <w:r w:rsidRPr="001C57FA">
        <w:rPr>
          <w:noProof/>
          <w:sz w:val="16"/>
        </w:rPr>
        <w:tab/>
        <w:t xml:space="preserve">B. Wilie </w:t>
      </w:r>
      <w:r w:rsidRPr="001C57FA">
        <w:rPr>
          <w:i/>
          <w:iCs/>
          <w:noProof/>
          <w:sz w:val="16"/>
        </w:rPr>
        <w:t>et al.</w:t>
      </w:r>
      <w:r w:rsidRPr="001C57FA">
        <w:rPr>
          <w:noProof/>
          <w:sz w:val="16"/>
        </w:rPr>
        <w:t>, “IndoNLU: Benchmark and Resources for Evaluating Indonesian Natural Language Understanding,” pp. 843–857, 2020, [Online]. Available: http://arxiv.org/abs/2009.05387</w:t>
      </w:r>
    </w:p>
    <w:p w14:paraId="17719850"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[9]</w:t>
      </w:r>
      <w:r w:rsidRPr="001C57FA">
        <w:rPr>
          <w:noProof/>
          <w:sz w:val="16"/>
        </w:rPr>
        <w:tab/>
        <w:t xml:space="preserve">D. Nallaperuma </w:t>
      </w:r>
      <w:r w:rsidRPr="001C57FA">
        <w:rPr>
          <w:i/>
          <w:iCs/>
          <w:noProof/>
          <w:sz w:val="16"/>
        </w:rPr>
        <w:t>et al.</w:t>
      </w:r>
      <w:r w:rsidRPr="001C57FA">
        <w:rPr>
          <w:noProof/>
          <w:sz w:val="16"/>
        </w:rPr>
        <w:t xml:space="preserve">, “Online Incremental Machine Learning Platform for Big Data-Driven Smart Traffic Management,” </w:t>
      </w:r>
      <w:r w:rsidRPr="001C57FA">
        <w:rPr>
          <w:i/>
          <w:iCs/>
          <w:noProof/>
          <w:sz w:val="16"/>
        </w:rPr>
        <w:t>IEEE Trans. Intell. Transp. Syst.</w:t>
      </w:r>
      <w:r w:rsidRPr="001C57FA">
        <w:rPr>
          <w:noProof/>
          <w:sz w:val="16"/>
        </w:rPr>
        <w:t>, vol. 20, no. 12, pp. 4679–4690, 2019, doi: 10.1109/TITS.2019.2924883.</w:t>
      </w:r>
    </w:p>
    <w:p w14:paraId="7BECE3AA"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[10]</w:t>
      </w:r>
      <w:r w:rsidRPr="001C57FA">
        <w:rPr>
          <w:noProof/>
          <w:sz w:val="16"/>
        </w:rPr>
        <w:tab/>
        <w:t xml:space="preserve">S. Schulz, M. Becker, M. R. Groseclose, S. Schadt, and C. Hopf, “Advanced MALDI mass spectrometry imaging in pharmaceutical research and drug development,” </w:t>
      </w:r>
      <w:r w:rsidRPr="001C57FA">
        <w:rPr>
          <w:i/>
          <w:iCs/>
          <w:noProof/>
          <w:sz w:val="16"/>
        </w:rPr>
        <w:t>Curr. Opin. Biotechnol.</w:t>
      </w:r>
      <w:r w:rsidRPr="001C57FA">
        <w:rPr>
          <w:noProof/>
          <w:sz w:val="16"/>
        </w:rPr>
        <w:t>, vol. 55, pp. 51–59, 2019, doi: 10.1016/j.copbio.2018.08.003.</w:t>
      </w:r>
    </w:p>
    <w:p w14:paraId="49E6F036"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[11]</w:t>
      </w:r>
      <w:r w:rsidRPr="001C57FA">
        <w:rPr>
          <w:noProof/>
          <w:sz w:val="16"/>
        </w:rPr>
        <w:tab/>
        <w:t xml:space="preserve">C. Shang and F. You, “Data Analytics and Machine Learning for Smart Process Manufacturing: Recent Advances and Perspectives in the Big Data Era,” </w:t>
      </w:r>
      <w:r w:rsidRPr="001C57FA">
        <w:rPr>
          <w:i/>
          <w:iCs/>
          <w:noProof/>
          <w:sz w:val="16"/>
        </w:rPr>
        <w:t>Engineering</w:t>
      </w:r>
      <w:r w:rsidRPr="001C57FA">
        <w:rPr>
          <w:noProof/>
          <w:sz w:val="16"/>
        </w:rPr>
        <w:t>, vol. 5, no. 6, pp. 1010–1016, 2019, doi: 10.1016/j.eng.2019.01.019.</w:t>
      </w:r>
    </w:p>
    <w:p w14:paraId="3B9A2068"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[12]</w:t>
      </w:r>
      <w:r w:rsidRPr="001C57FA">
        <w:rPr>
          <w:noProof/>
          <w:sz w:val="16"/>
        </w:rPr>
        <w:tab/>
        <w:t xml:space="preserve">Y. Yu, M. Li, L. Liu, Y. Li, and J. Wang, “Clinical big data and deep learning: Applications, challenges, and future outlooks,” </w:t>
      </w:r>
      <w:r w:rsidRPr="001C57FA">
        <w:rPr>
          <w:i/>
          <w:iCs/>
          <w:noProof/>
          <w:sz w:val="16"/>
        </w:rPr>
        <w:t>Big Data Min. Anal.</w:t>
      </w:r>
      <w:r w:rsidRPr="001C57FA">
        <w:rPr>
          <w:noProof/>
          <w:sz w:val="16"/>
        </w:rPr>
        <w:t>, vol. 2, no. 4, pp. 288–305, 2019, doi: 10.26599/BDMA.2019.9020007.</w:t>
      </w:r>
    </w:p>
    <w:p w14:paraId="22DA18FD"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[13]</w:t>
      </w:r>
      <w:r w:rsidRPr="001C57FA">
        <w:rPr>
          <w:noProof/>
          <w:sz w:val="16"/>
        </w:rPr>
        <w:tab/>
        <w:t xml:space="preserve">M. Huang, W. Liu, T. Wang, H. Song, X. Li, and A. Liu, “A queuing delay utilization scheme for on-path service aggregation in services-oriented computing networks,” </w:t>
      </w:r>
      <w:r w:rsidRPr="001C57FA">
        <w:rPr>
          <w:i/>
          <w:iCs/>
          <w:noProof/>
          <w:sz w:val="16"/>
        </w:rPr>
        <w:t>IEEE Access</w:t>
      </w:r>
      <w:r w:rsidRPr="001C57FA">
        <w:rPr>
          <w:noProof/>
          <w:sz w:val="16"/>
        </w:rPr>
        <w:t>, vol. 7, pp. 23816–23833, 2019, doi: 10.1109/ACCESS.2019.2899402.</w:t>
      </w:r>
    </w:p>
    <w:p w14:paraId="23FD6845"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[14]</w:t>
      </w:r>
      <w:r w:rsidRPr="001C57FA">
        <w:rPr>
          <w:noProof/>
          <w:sz w:val="16"/>
        </w:rPr>
        <w:tab/>
        <w:t xml:space="preserve">G. Xu, Y. Shi, X. Sun, and W. Shen, “Internet of things in marine environment monitoring: A review,” </w:t>
      </w:r>
      <w:r w:rsidRPr="001C57FA">
        <w:rPr>
          <w:i/>
          <w:iCs/>
          <w:noProof/>
          <w:sz w:val="16"/>
        </w:rPr>
        <w:t>Sensors (Switzerland)</w:t>
      </w:r>
      <w:r w:rsidRPr="001C57FA">
        <w:rPr>
          <w:noProof/>
          <w:sz w:val="16"/>
        </w:rPr>
        <w:t>, vol. 19, no. 7, pp. 1–21, 2019, doi: 10.3390/s19071711.</w:t>
      </w:r>
    </w:p>
    <w:p w14:paraId="4B95E80C"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lastRenderedPageBreak/>
        <w:t>[15]</w:t>
      </w:r>
      <w:r w:rsidRPr="001C57FA">
        <w:rPr>
          <w:noProof/>
          <w:sz w:val="16"/>
        </w:rPr>
        <w:tab/>
        <w:t xml:space="preserve">M. Aqib, R. Mehmood, A. Alzahrani, I. Katib, A. Albeshri, and S. M. Altowaijri, </w:t>
      </w:r>
      <w:r w:rsidRPr="001C57FA">
        <w:rPr>
          <w:i/>
          <w:iCs/>
          <w:noProof/>
          <w:sz w:val="16"/>
        </w:rPr>
        <w:t>Smarter traffic prediction using big data, in-memory computing, deep learning and gpus</w:t>
      </w:r>
      <w:r w:rsidRPr="001C57FA">
        <w:rPr>
          <w:noProof/>
          <w:sz w:val="16"/>
        </w:rPr>
        <w:t>, vol. 19, no. 9. 2019. doi: 10.3390/s19092206.</w:t>
      </w:r>
    </w:p>
    <w:p w14:paraId="50F3EB0D"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[16]</w:t>
      </w:r>
      <w:r w:rsidRPr="001C57FA">
        <w:rPr>
          <w:noProof/>
          <w:sz w:val="16"/>
        </w:rPr>
        <w:tab/>
        <w:t xml:space="preserve">S. Leonelli and N. Tempini, </w:t>
      </w:r>
      <w:r w:rsidRPr="001C57FA">
        <w:rPr>
          <w:i/>
          <w:iCs/>
          <w:noProof/>
          <w:sz w:val="16"/>
        </w:rPr>
        <w:t>Data Journeys in the Sciences</w:t>
      </w:r>
      <w:r w:rsidRPr="001C57FA">
        <w:rPr>
          <w:noProof/>
          <w:sz w:val="16"/>
        </w:rPr>
        <w:t>. 2020.</w:t>
      </w:r>
    </w:p>
    <w:p w14:paraId="388D31A2"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[17]</w:t>
      </w:r>
      <w:r w:rsidRPr="001C57FA">
        <w:rPr>
          <w:noProof/>
          <w:sz w:val="16"/>
        </w:rPr>
        <w:tab/>
        <w:t xml:space="preserve">N. Stylos and J. Zwiegelaar, </w:t>
      </w:r>
      <w:r w:rsidRPr="001C57FA">
        <w:rPr>
          <w:i/>
          <w:iCs/>
          <w:noProof/>
          <w:sz w:val="16"/>
        </w:rPr>
        <w:t>Big Data as a Game Changer: How Does It Shape Business Intelligence Within a Tourism and Hospitality Industry Context?</w:t>
      </w:r>
      <w:r w:rsidRPr="001C57FA">
        <w:rPr>
          <w:noProof/>
          <w:sz w:val="16"/>
        </w:rPr>
        <w:t xml:space="preserve"> 2019.</w:t>
      </w:r>
    </w:p>
    <w:p w14:paraId="1BB5DA83" w14:textId="77777777" w:rsidR="001C57FA" w:rsidRPr="001C57FA" w:rsidRDefault="001C57FA" w:rsidP="001C57FA">
      <w:pPr>
        <w:widowControl w:val="0"/>
        <w:autoSpaceDE w:val="0"/>
        <w:autoSpaceDN w:val="0"/>
        <w:adjustRightInd w:val="0"/>
        <w:ind w:left="640" w:hanging="640"/>
        <w:rPr>
          <w:noProof/>
          <w:sz w:val="16"/>
        </w:rPr>
      </w:pPr>
      <w:r w:rsidRPr="001C57FA">
        <w:rPr>
          <w:noProof/>
          <w:sz w:val="16"/>
        </w:rPr>
        <w:t>[18]</w:t>
      </w:r>
      <w:r w:rsidRPr="001C57FA">
        <w:rPr>
          <w:noProof/>
          <w:sz w:val="16"/>
        </w:rPr>
        <w:tab/>
        <w:t xml:space="preserve">Q. Song, H. Ge, J. Caverlee, and X. Hu, “Tensor completion algorithms in big data analytics,” </w:t>
      </w:r>
      <w:r w:rsidRPr="001C57FA">
        <w:rPr>
          <w:i/>
          <w:iCs/>
          <w:noProof/>
          <w:sz w:val="16"/>
        </w:rPr>
        <w:t>arXiv</w:t>
      </w:r>
      <w:r w:rsidRPr="001C57FA">
        <w:rPr>
          <w:noProof/>
          <w:sz w:val="16"/>
        </w:rPr>
        <w:t>, vol. 13, no. 1, 2017.</w:t>
      </w:r>
    </w:p>
    <w:p w14:paraId="7D0EF40C" w14:textId="062A447E" w:rsidR="00E619D6" w:rsidRPr="003D6B19" w:rsidRDefault="00E619D6" w:rsidP="005D15FA">
      <w:pPr>
        <w:widowControl w:val="0"/>
        <w:autoSpaceDE w:val="0"/>
        <w:autoSpaceDN w:val="0"/>
        <w:adjustRightInd w:val="0"/>
        <w:ind w:left="426" w:hanging="426"/>
        <w:jc w:val="both"/>
        <w:rPr>
          <w:color w:val="000000"/>
          <w:sz w:val="18"/>
          <w:szCs w:val="18"/>
        </w:rPr>
      </w:pPr>
      <w:r w:rsidRPr="00C523CB">
        <w:rPr>
          <w:color w:val="000000"/>
          <w:sz w:val="16"/>
          <w:szCs w:val="16"/>
        </w:rPr>
        <w:fldChar w:fldCharType="end"/>
      </w:r>
    </w:p>
    <w:p w14:paraId="41B57CED" w14:textId="0D6C0012" w:rsidR="00E619D6" w:rsidRDefault="00E619D6" w:rsidP="00E619D6">
      <w:pPr>
        <w:ind w:left="426" w:hanging="426"/>
        <w:jc w:val="both"/>
        <w:rPr>
          <w:color w:val="000000"/>
        </w:rPr>
      </w:pPr>
    </w:p>
    <w:p w14:paraId="034B7DC5" w14:textId="77777777" w:rsidR="00612242" w:rsidRPr="003D6B19" w:rsidRDefault="00612242" w:rsidP="00E619D6">
      <w:pPr>
        <w:ind w:left="426" w:hanging="426"/>
        <w:jc w:val="both"/>
        <w:rPr>
          <w:color w:val="000000"/>
        </w:rPr>
      </w:pPr>
    </w:p>
    <w:p w14:paraId="23D31E93" w14:textId="77777777" w:rsidR="00874EAA" w:rsidRDefault="00874EAA">
      <w:pPr>
        <w:rPr>
          <w:rStyle w:val="apple-style-span"/>
          <w:b/>
          <w:color w:val="000000"/>
          <w:lang w:val="pt-BR"/>
        </w:rPr>
      </w:pPr>
      <w:r>
        <w:rPr>
          <w:rStyle w:val="apple-style-span"/>
          <w:b/>
          <w:color w:val="000000"/>
          <w:lang w:val="pt-BR"/>
        </w:rPr>
        <w:br w:type="page"/>
      </w:r>
    </w:p>
    <w:p w14:paraId="6A8660A5" w14:textId="7548BF4C" w:rsidR="00E619D6" w:rsidRDefault="00E619D6" w:rsidP="00E619D6">
      <w:pPr>
        <w:rPr>
          <w:b/>
          <w:bCs/>
        </w:rPr>
      </w:pPr>
      <w:r w:rsidRPr="003D6B19">
        <w:rPr>
          <w:rStyle w:val="apple-style-span"/>
          <w:b/>
          <w:color w:val="000000"/>
          <w:lang w:val="pt-BR"/>
        </w:rPr>
        <w:lastRenderedPageBreak/>
        <w:t xml:space="preserve">BIOGRAPHIES OF AUTHORS </w:t>
      </w:r>
      <w:r w:rsidRPr="003D6B19">
        <w:rPr>
          <w:b/>
          <w:bCs/>
        </w:rPr>
        <w:t xml:space="preserve">(10 PT) </w:t>
      </w:r>
    </w:p>
    <w:p w14:paraId="02DFB4E8" w14:textId="77777777" w:rsidR="00874EAA" w:rsidRPr="003D6B19" w:rsidRDefault="00874EAA" w:rsidP="00E619D6">
      <w:pPr>
        <w:rPr>
          <w:b/>
          <w:bCs/>
        </w:rPr>
      </w:pPr>
    </w:p>
    <w:p w14:paraId="270D2187" w14:textId="77777777" w:rsidR="00153B62" w:rsidRPr="003D6B19" w:rsidRDefault="00153B62" w:rsidP="00153B62">
      <w:pPr>
        <w:rPr>
          <w:b/>
          <w:bCs/>
        </w:rPr>
      </w:pPr>
      <w:r w:rsidRPr="003D6B19">
        <w:rPr>
          <w:b/>
          <w:bCs/>
        </w:rPr>
        <w:t>The recommended number of authors is at least 2. One of them as a corresponding author.</w:t>
      </w:r>
    </w:p>
    <w:p w14:paraId="3DCC128F" w14:textId="77777777" w:rsidR="00153B62" w:rsidRPr="003D6B19" w:rsidRDefault="00153B62" w:rsidP="00153B62">
      <w:pPr>
        <w:rPr>
          <w:i/>
          <w:iCs/>
        </w:rPr>
      </w:pPr>
      <w:bookmarkStart w:id="10" w:name="_Hlk78375417"/>
      <w:r w:rsidRPr="003D6B19">
        <w:rPr>
          <w:i/>
          <w:iCs/>
        </w:rPr>
        <w:t>Please attach clear photo (3x4 cm) and vita. Example of biographies of authors:</w:t>
      </w:r>
    </w:p>
    <w:bookmarkEnd w:id="10"/>
    <w:p w14:paraId="58F0C71C" w14:textId="77777777" w:rsidR="00153B62" w:rsidRPr="003D6B19" w:rsidRDefault="00153B62" w:rsidP="00153B62">
      <w:pPr>
        <w:rPr>
          <w:i/>
          <w:i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6852"/>
      </w:tblGrid>
      <w:tr w:rsidR="00A67CD8" w:rsidRPr="003D6B19" w14:paraId="188B9496" w14:textId="77777777" w:rsidTr="00A61C92">
        <w:trPr>
          <w:trHeight w:val="1547"/>
        </w:trPr>
        <w:tc>
          <w:tcPr>
            <w:tcW w:w="1079" w:type="pct"/>
          </w:tcPr>
          <w:p w14:paraId="17EFEDB3" w14:textId="39D2FE85" w:rsidR="00A67CD8" w:rsidRPr="003D6B19" w:rsidRDefault="0093175D" w:rsidP="00A67CD8">
            <w:pPr>
              <w:jc w:val="center"/>
              <w:rPr>
                <w:color w:val="000000"/>
                <w:highlight w:val="yellow"/>
                <w:lang w:val="pt-BR"/>
              </w:rPr>
            </w:pPr>
            <w:r>
              <w:rPr>
                <w:noProof/>
              </w:rPr>
              <w:drawing>
                <wp:inline distT="0" distB="0" distL="0" distR="0" wp14:anchorId="6E7B0C5B" wp14:editId="59E6E3F7">
                  <wp:extent cx="1080000" cy="1438910"/>
                  <wp:effectExtent l="0" t="0" r="635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13">
                            <a:extLst>
                              <a:ext uri="{28A0092B-C50C-407E-A947-70E740481C1C}">
                                <a14:useLocalDpi xmlns:a14="http://schemas.microsoft.com/office/drawing/2010/main" val="0"/>
                              </a:ext>
                            </a:extLst>
                          </a:blip>
                          <a:srcRect l="7993" r="4106"/>
                          <a:stretch/>
                        </pic:blipFill>
                        <pic:spPr bwMode="auto">
                          <a:xfrm>
                            <a:off x="0" y="0"/>
                            <a:ext cx="1080000" cy="143891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6A7EABA4" w14:textId="4B662E98" w:rsidR="00A67CD8" w:rsidRPr="003D6B19" w:rsidRDefault="0093175D" w:rsidP="00A67CD8">
            <w:pPr>
              <w:jc w:val="both"/>
              <w:rPr>
                <w:color w:val="000000"/>
                <w:highlight w:val="yellow"/>
                <w:lang w:val="pt-BR"/>
              </w:rPr>
            </w:pPr>
            <w:r w:rsidRPr="0093175D">
              <w:rPr>
                <w:b/>
                <w:bCs/>
                <w:color w:val="000000"/>
                <w:sz w:val="18"/>
                <w:szCs w:val="18"/>
              </w:rPr>
              <w:t xml:space="preserve">Saad </w:t>
            </w:r>
            <w:proofErr w:type="spellStart"/>
            <w:r w:rsidRPr="0093175D">
              <w:rPr>
                <w:b/>
                <w:bCs/>
                <w:color w:val="000000"/>
                <w:sz w:val="18"/>
                <w:szCs w:val="18"/>
              </w:rPr>
              <w:t>Mekhilef</w:t>
            </w:r>
            <w:proofErr w:type="spellEnd"/>
            <w:r w:rsidRPr="0093175D">
              <w:rPr>
                <w:b/>
                <w:bCs/>
                <w:color w:val="000000"/>
                <w:sz w:val="18"/>
                <w:szCs w:val="18"/>
              </w:rPr>
              <w:t xml:space="preserve"> </w:t>
            </w:r>
            <w:r w:rsidR="00A67CD8">
              <w:rPr>
                <w:noProof/>
                <w:color w:val="000000"/>
                <w:sz w:val="18"/>
                <w:szCs w:val="18"/>
              </w:rPr>
              <w:drawing>
                <wp:inline distT="0" distB="0" distL="0" distR="0" wp14:anchorId="3AAD5EBD" wp14:editId="704E6BE3">
                  <wp:extent cx="114935" cy="114935"/>
                  <wp:effectExtent l="0" t="0" r="0" b="0"/>
                  <wp:docPr id="23" name="Picture 2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A67CD8">
              <w:rPr>
                <w:color w:val="000000"/>
                <w:sz w:val="18"/>
                <w:szCs w:val="18"/>
              </w:rPr>
              <w:t xml:space="preserve"> </w:t>
            </w:r>
            <w:r w:rsidR="00A67CD8">
              <w:rPr>
                <w:noProof/>
                <w:color w:val="000000"/>
                <w:sz w:val="18"/>
                <w:szCs w:val="18"/>
              </w:rPr>
              <w:drawing>
                <wp:inline distT="0" distB="0" distL="0" distR="0" wp14:anchorId="49B43811" wp14:editId="548B62C3">
                  <wp:extent cx="114935" cy="114935"/>
                  <wp:effectExtent l="0" t="0" r="0" b="0"/>
                  <wp:docPr id="24" name="Picture 2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A67CD8">
              <w:rPr>
                <w:color w:val="000000"/>
                <w:sz w:val="18"/>
                <w:szCs w:val="18"/>
              </w:rPr>
              <w:t xml:space="preserve"> </w:t>
            </w:r>
            <w:r w:rsidR="00A67CD8">
              <w:rPr>
                <w:noProof/>
                <w:color w:val="000000"/>
                <w:sz w:val="18"/>
                <w:szCs w:val="18"/>
              </w:rPr>
              <w:drawing>
                <wp:inline distT="0" distB="0" distL="0" distR="0" wp14:anchorId="6C56B47C" wp14:editId="378F5CB9">
                  <wp:extent cx="114935" cy="114935"/>
                  <wp:effectExtent l="0" t="0" r="0" b="0"/>
                  <wp:docPr id="25" name="Graphic 25">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5" name="Graphic 25">
                            <a:hlinkClick r:id="rId18"/>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14935" cy="114935"/>
                          </a:xfrm>
                          <a:prstGeom prst="rect">
                            <a:avLst/>
                          </a:prstGeom>
                        </pic:spPr>
                      </pic:pic>
                    </a:graphicData>
                  </a:graphic>
                </wp:inline>
              </w:drawing>
            </w:r>
            <w:r w:rsidR="00A67CD8">
              <w:rPr>
                <w:color w:val="000000"/>
                <w:sz w:val="18"/>
                <w:szCs w:val="18"/>
              </w:rPr>
              <w:t xml:space="preserve"> </w:t>
            </w:r>
            <w:r w:rsidR="00A67CD8">
              <w:rPr>
                <w:noProof/>
                <w:color w:val="000000"/>
                <w:sz w:val="18"/>
                <w:szCs w:val="18"/>
              </w:rPr>
              <w:drawing>
                <wp:inline distT="0" distB="0" distL="0" distR="0" wp14:anchorId="0362EC7C" wp14:editId="552F42DD">
                  <wp:extent cx="114935" cy="114935"/>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sidR="00A67CD8">
              <w:rPr>
                <w:color w:val="000000"/>
                <w:sz w:val="18"/>
                <w:szCs w:val="18"/>
              </w:rPr>
              <w:t xml:space="preserve"> </w:t>
            </w:r>
            <w:r w:rsidRPr="0093175D">
              <w:rPr>
                <w:color w:val="000000"/>
                <w:sz w:val="18"/>
                <w:szCs w:val="18"/>
              </w:rPr>
              <w:t xml:space="preserve">received the B.Eng. degree in electrical engineering from the University of </w:t>
            </w:r>
            <w:proofErr w:type="spellStart"/>
            <w:r w:rsidRPr="0093175D">
              <w:rPr>
                <w:color w:val="000000"/>
                <w:sz w:val="18"/>
                <w:szCs w:val="18"/>
              </w:rPr>
              <w:t>Setif</w:t>
            </w:r>
            <w:proofErr w:type="spellEnd"/>
            <w:r w:rsidRPr="0093175D">
              <w:rPr>
                <w:color w:val="000000"/>
                <w:sz w:val="18"/>
                <w:szCs w:val="18"/>
              </w:rPr>
              <w:t xml:space="preserve">, </w:t>
            </w:r>
            <w:proofErr w:type="spellStart"/>
            <w:r w:rsidRPr="0093175D">
              <w:rPr>
                <w:color w:val="000000"/>
                <w:sz w:val="18"/>
                <w:szCs w:val="18"/>
              </w:rPr>
              <w:t>Setif</w:t>
            </w:r>
            <w:proofErr w:type="spellEnd"/>
            <w:r w:rsidRPr="0093175D">
              <w:rPr>
                <w:color w:val="000000"/>
                <w:sz w:val="18"/>
                <w:szCs w:val="18"/>
              </w:rPr>
              <w:t xml:space="preserve">, Algeria, in 1995, and the master’s degree in engineering science and the Ph.D. degree in electrical engineering from the University of Malaya, Kuala Lumpur, Malaysia, in 1998 and 2003, respectively. He is currently a Professor and the Director of the Power Electronics and Renewable Energy Research Laboratory, Department of Electrical Engineering, University of Malaya, where he is also the Dean of the Faculty of Engineering. He is also a Distinguished Adjunct Professor with the School of Software and Electrical Engineering, Faculty of Science, Engineering and Technology, Swinburne University of Technology, VIC, Australia. His current research interests include power converter topologies, the control of power converters, renewable energy, and energy efficiency. </w:t>
            </w:r>
            <w:r w:rsidR="00A67CD8" w:rsidRPr="00CC7B7A">
              <w:rPr>
                <w:color w:val="000000"/>
                <w:sz w:val="18"/>
                <w:szCs w:val="18"/>
              </w:rPr>
              <w:t>He can be contacted at email:</w:t>
            </w:r>
            <w:r w:rsidR="00A67CD8">
              <w:rPr>
                <w:color w:val="000000"/>
                <w:sz w:val="18"/>
                <w:szCs w:val="18"/>
              </w:rPr>
              <w:t xml:space="preserve"> </w:t>
            </w:r>
            <w:r w:rsidRPr="0093175D">
              <w:rPr>
                <w:color w:val="000000"/>
                <w:sz w:val="18"/>
                <w:szCs w:val="18"/>
              </w:rPr>
              <w:t>saad@um.edu.my</w:t>
            </w:r>
            <w:r w:rsidR="00A67CD8">
              <w:rPr>
                <w:color w:val="000000"/>
                <w:sz w:val="18"/>
                <w:szCs w:val="18"/>
              </w:rPr>
              <w:t>.</w:t>
            </w:r>
          </w:p>
        </w:tc>
      </w:tr>
      <w:tr w:rsidR="00A67CD8" w:rsidRPr="003D6B19" w14:paraId="396DB499" w14:textId="77777777" w:rsidTr="00A61C92">
        <w:tc>
          <w:tcPr>
            <w:tcW w:w="1079" w:type="pct"/>
          </w:tcPr>
          <w:p w14:paraId="28136686" w14:textId="0068352E" w:rsidR="00A67CD8" w:rsidRPr="003D6B19" w:rsidRDefault="00A67CD8" w:rsidP="00A67CD8">
            <w:pPr>
              <w:jc w:val="center"/>
              <w:rPr>
                <w:color w:val="000000"/>
                <w:highlight w:val="yellow"/>
                <w:lang w:val="pt-BR"/>
              </w:rPr>
            </w:pPr>
            <w:bookmarkStart w:id="11" w:name="_Hlk78354998"/>
          </w:p>
        </w:tc>
        <w:tc>
          <w:tcPr>
            <w:tcW w:w="3921" w:type="pct"/>
          </w:tcPr>
          <w:p w14:paraId="0B50E4FF" w14:textId="2FB9A7D4" w:rsidR="00A67CD8" w:rsidRPr="003D6B19" w:rsidRDefault="00A67CD8" w:rsidP="00A67CD8">
            <w:pPr>
              <w:jc w:val="both"/>
              <w:rPr>
                <w:color w:val="000000"/>
                <w:highlight w:val="yellow"/>
                <w:lang w:val="pt-BR"/>
              </w:rPr>
            </w:pPr>
          </w:p>
        </w:tc>
      </w:tr>
      <w:tr w:rsidR="00A67CD8" w:rsidRPr="003D6B19" w14:paraId="1CE3D06B" w14:textId="77777777" w:rsidTr="00A61C92">
        <w:tc>
          <w:tcPr>
            <w:tcW w:w="1079" w:type="pct"/>
          </w:tcPr>
          <w:p w14:paraId="40B620A2" w14:textId="488E7195" w:rsidR="00A67CD8" w:rsidRPr="003D6B19" w:rsidRDefault="00A67CD8" w:rsidP="00A67CD8">
            <w:pPr>
              <w:jc w:val="center"/>
              <w:rPr>
                <w:color w:val="000000"/>
                <w:highlight w:val="yellow"/>
                <w:lang w:val="pt-BR"/>
              </w:rPr>
            </w:pPr>
            <w:r>
              <w:rPr>
                <w:noProof/>
              </w:rPr>
              <w:drawing>
                <wp:inline distT="0" distB="0" distL="0" distR="0" wp14:anchorId="1BA82B16" wp14:editId="1D89A92F">
                  <wp:extent cx="1080000" cy="1440000"/>
                  <wp:effectExtent l="0" t="0" r="6350" b="8255"/>
                  <wp:docPr id="32" name="Picture 32" descr="C:\Users\User\AppData\Local\Microsoft\Windows\INetCache\Content.MSO\F4BA6C40.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F4BA6C40.tmp"/>
                          <pic:cNvPicPr preferRelativeResize="0">
                            <a:picLocks noChangeAspect="1" noChangeArrowheads="1"/>
                          </pic:cNvPicPr>
                        </pic:nvPicPr>
                        <pic:blipFill rotWithShape="1">
                          <a:blip r:embed="rId23">
                            <a:extLst>
                              <a:ext uri="{BEBA8EAE-BF5A-486C-A8C5-ECC9F3942E4B}">
                                <a14:imgProps xmlns:a14="http://schemas.microsoft.com/office/drawing/2010/main">
                                  <a14:imgLayer r:embed="rId24">
                                    <a14:imgEffect>
                                      <a14:brightnessContrast bright="20000" contrast="-20000"/>
                                    </a14:imgEffect>
                                  </a14:imgLayer>
                                </a14:imgProps>
                              </a:ext>
                              <a:ext uri="{28A0092B-C50C-407E-A947-70E740481C1C}">
                                <a14:useLocalDpi xmlns:a14="http://schemas.microsoft.com/office/drawing/2010/main" val="0"/>
                              </a:ext>
                            </a:extLst>
                          </a:blip>
                          <a:srcRect t="14546"/>
                          <a:stretch/>
                        </pic:blipFill>
                        <pic:spPr bwMode="auto">
                          <a:xfrm>
                            <a:off x="0" y="0"/>
                            <a:ext cx="108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260EB288" w14:textId="5425524B" w:rsidR="00A67CD8" w:rsidRPr="003D6B19" w:rsidRDefault="00A67CD8" w:rsidP="00A67CD8">
            <w:pPr>
              <w:jc w:val="both"/>
              <w:rPr>
                <w:color w:val="000000"/>
                <w:sz w:val="18"/>
                <w:szCs w:val="18"/>
                <w:highlight w:val="yellow"/>
              </w:rPr>
            </w:pPr>
            <w:r w:rsidRPr="00971F15">
              <w:rPr>
                <w:b/>
                <w:bCs/>
                <w:color w:val="000000"/>
                <w:sz w:val="18"/>
                <w:szCs w:val="18"/>
              </w:rPr>
              <w:t xml:space="preserve">Oscar Castillo </w:t>
            </w:r>
            <w:r>
              <w:rPr>
                <w:noProof/>
                <w:color w:val="000000"/>
                <w:sz w:val="18"/>
                <w:szCs w:val="18"/>
              </w:rPr>
              <w:drawing>
                <wp:inline distT="0" distB="0" distL="0" distR="0" wp14:anchorId="4DBDB775" wp14:editId="18BF2486">
                  <wp:extent cx="114935" cy="114935"/>
                  <wp:effectExtent l="0" t="0" r="0" b="0"/>
                  <wp:docPr id="20" name="Picture 2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5"/>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1B49446F" wp14:editId="104E66AF">
                  <wp:extent cx="114935" cy="114935"/>
                  <wp:effectExtent l="0" t="0" r="0" b="0"/>
                  <wp:docPr id="19" name="Picture 1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hlinkClick r:id="rId2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13F46F0F" wp14:editId="2E5CCFC2">
                  <wp:extent cx="114935" cy="114935"/>
                  <wp:effectExtent l="0" t="0" r="0" b="0"/>
                  <wp:docPr id="18" name="Graphic 18">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8" name="Graphic 18">
                            <a:hlinkClick r:id="rId27"/>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195A076B" wp14:editId="67FEFFA3">
                  <wp:extent cx="114935" cy="114935"/>
                  <wp:effectExtent l="0" t="0" r="0" b="0"/>
                  <wp:docPr id="17" name="Picture 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28"/>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971F15">
              <w:rPr>
                <w:color w:val="000000"/>
                <w:sz w:val="18"/>
                <w:szCs w:val="18"/>
              </w:rPr>
              <w:t xml:space="preserve">received the D.Sc. degree (Doctor </w:t>
            </w:r>
            <w:proofErr w:type="spellStart"/>
            <w:r w:rsidRPr="00971F15">
              <w:rPr>
                <w:color w:val="000000"/>
                <w:sz w:val="18"/>
                <w:szCs w:val="18"/>
              </w:rPr>
              <w:t>Habilitatus</w:t>
            </w:r>
            <w:proofErr w:type="spellEnd"/>
            <w:r w:rsidRPr="00971F15">
              <w:rPr>
                <w:color w:val="000000"/>
                <w:sz w:val="18"/>
                <w:szCs w:val="18"/>
              </w:rPr>
              <w:t>) in computer science from the Polish Academy of Sciences, Warsaw, Poland, with the Dissertation “Soft Computing and Fractal Theory for Intelligent Manufacturing”</w:t>
            </w:r>
            <w:r>
              <w:rPr>
                <w:color w:val="000000"/>
                <w:sz w:val="18"/>
                <w:szCs w:val="18"/>
              </w:rPr>
              <w:t xml:space="preserve">. </w:t>
            </w:r>
            <w:r w:rsidRPr="00971F15">
              <w:rPr>
                <w:color w:val="000000"/>
                <w:sz w:val="18"/>
                <w:szCs w:val="18"/>
              </w:rPr>
              <w:t xml:space="preserve">He is a </w:t>
            </w:r>
            <w:proofErr w:type="gramStart"/>
            <w:r w:rsidRPr="00971F15">
              <w:rPr>
                <w:color w:val="000000"/>
                <w:sz w:val="18"/>
                <w:szCs w:val="18"/>
              </w:rPr>
              <w:t>Professor</w:t>
            </w:r>
            <w:proofErr w:type="gramEnd"/>
            <w:r w:rsidRPr="00971F15">
              <w:rPr>
                <w:color w:val="000000"/>
                <w:sz w:val="18"/>
                <w:szCs w:val="18"/>
              </w:rPr>
              <w:t xml:space="preserve"> of computer science in the Graduate Division, Tijuana Institute of Technology, Tijuana, Mexico. In addition, he is serving as Research Director of computer science and Head of the research group on fuzzy logic and genetic algorithms. He is currently the Vice-President of Hispanic American Fuzzy Systems Association (HAFSA) and President Elect of International Fuzzy Systems Association (IFSA). He has published over 80 journal papers, 6 authored books, 20 edited books, and 200 papers in conference proceedings. His research interests are in Type-2 Fuzzy Logic, Fuzzy Control, Neuro-Fuzzy and Genetic-Fuzzy hybrid approaches.</w:t>
            </w:r>
            <w:r>
              <w:rPr>
                <w:color w:val="000000"/>
                <w:sz w:val="18"/>
                <w:szCs w:val="18"/>
              </w:rPr>
              <w:t xml:space="preserve"> H</w:t>
            </w:r>
            <w:r w:rsidRPr="00105D69">
              <w:rPr>
                <w:color w:val="000000"/>
                <w:sz w:val="18"/>
                <w:szCs w:val="18"/>
              </w:rPr>
              <w:t xml:space="preserve">e can be contacted at email: </w:t>
            </w:r>
            <w:r w:rsidRPr="00B9642F">
              <w:rPr>
                <w:color w:val="000000"/>
                <w:sz w:val="18"/>
                <w:szCs w:val="18"/>
              </w:rPr>
              <w:t>ocastillo@tectijuana.mx</w:t>
            </w:r>
            <w:r>
              <w:rPr>
                <w:color w:val="000000"/>
                <w:sz w:val="18"/>
                <w:szCs w:val="18"/>
              </w:rPr>
              <w:t>.</w:t>
            </w:r>
          </w:p>
        </w:tc>
      </w:tr>
      <w:tr w:rsidR="00A67CD8" w:rsidRPr="003D6B19" w14:paraId="7577BAD6" w14:textId="77777777" w:rsidTr="00A61C92">
        <w:trPr>
          <w:trHeight w:val="64"/>
        </w:trPr>
        <w:tc>
          <w:tcPr>
            <w:tcW w:w="1079" w:type="pct"/>
          </w:tcPr>
          <w:p w14:paraId="780785F8" w14:textId="77777777" w:rsidR="00A67CD8" w:rsidRPr="003D6B19" w:rsidRDefault="00A67CD8" w:rsidP="00A67CD8">
            <w:pPr>
              <w:jc w:val="center"/>
              <w:rPr>
                <w:noProof/>
              </w:rPr>
            </w:pPr>
          </w:p>
        </w:tc>
        <w:tc>
          <w:tcPr>
            <w:tcW w:w="3921" w:type="pct"/>
          </w:tcPr>
          <w:p w14:paraId="53AB80C4" w14:textId="77777777" w:rsidR="00A67CD8" w:rsidRPr="003D6B19" w:rsidRDefault="00A67CD8" w:rsidP="00A67CD8">
            <w:pPr>
              <w:jc w:val="both"/>
              <w:rPr>
                <w:b/>
                <w:bCs/>
                <w:color w:val="000000"/>
                <w:sz w:val="18"/>
                <w:szCs w:val="18"/>
              </w:rPr>
            </w:pPr>
          </w:p>
        </w:tc>
      </w:tr>
      <w:tr w:rsidR="00A67CD8" w:rsidRPr="003D6B19" w14:paraId="14C83E89" w14:textId="77777777" w:rsidTr="00A61C92">
        <w:trPr>
          <w:trHeight w:val="64"/>
        </w:trPr>
        <w:tc>
          <w:tcPr>
            <w:tcW w:w="1079" w:type="pct"/>
          </w:tcPr>
          <w:p w14:paraId="0DAFE366" w14:textId="0C27A49B" w:rsidR="00A67CD8" w:rsidRPr="00A73A62" w:rsidRDefault="00A67CD8" w:rsidP="00A67CD8">
            <w:pPr>
              <w:jc w:val="center"/>
              <w:rPr>
                <w:noProof/>
                <w:sz w:val="24"/>
                <w:szCs w:val="24"/>
              </w:rPr>
            </w:pPr>
            <w:r w:rsidRPr="0087393C">
              <w:rPr>
                <w:noProof/>
                <w:sz w:val="24"/>
                <w:szCs w:val="24"/>
              </w:rPr>
              <w:drawing>
                <wp:inline distT="0" distB="0" distL="0" distR="0" wp14:anchorId="67E29318" wp14:editId="7A31E6CF">
                  <wp:extent cx="1080000" cy="1440000"/>
                  <wp:effectExtent l="0" t="0" r="6350" b="8255"/>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rotWithShape="1">
                          <a:blip r:embed="rId29">
                            <a:extLst>
                              <a:ext uri="{28A0092B-C50C-407E-A947-70E740481C1C}">
                                <a14:useLocalDpi xmlns:a14="http://schemas.microsoft.com/office/drawing/2010/main" val="0"/>
                              </a:ext>
                            </a:extLst>
                          </a:blip>
                          <a:srcRect l="11601" r="15992" b="35714"/>
                          <a:stretch/>
                        </pic:blipFill>
                        <pic:spPr bwMode="auto">
                          <a:xfrm>
                            <a:off x="0" y="0"/>
                            <a:ext cx="1080000" cy="14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2FB3837E" w14:textId="677081B7" w:rsidR="00A67CD8" w:rsidRPr="00075E2D" w:rsidRDefault="00A67CD8" w:rsidP="00A67CD8">
            <w:pPr>
              <w:jc w:val="both"/>
              <w:rPr>
                <w:b/>
                <w:bCs/>
                <w:color w:val="000000"/>
                <w:sz w:val="18"/>
                <w:szCs w:val="18"/>
              </w:rPr>
            </w:pPr>
            <w:bookmarkStart w:id="12" w:name="_Hlk81227280"/>
            <w:r w:rsidRPr="00971F15">
              <w:rPr>
                <w:b/>
                <w:bCs/>
                <w:color w:val="000000"/>
                <w:sz w:val="18"/>
                <w:szCs w:val="18"/>
              </w:rPr>
              <w:t xml:space="preserve">Patricia Melin </w:t>
            </w:r>
            <w:bookmarkEnd w:id="12"/>
            <w:r>
              <w:rPr>
                <w:noProof/>
                <w:color w:val="000000"/>
                <w:sz w:val="18"/>
                <w:szCs w:val="18"/>
              </w:rPr>
              <w:drawing>
                <wp:inline distT="0" distB="0" distL="0" distR="0" wp14:anchorId="622D46AF" wp14:editId="7DFD956A">
                  <wp:extent cx="114935" cy="114935"/>
                  <wp:effectExtent l="0" t="0" r="0" b="0"/>
                  <wp:docPr id="28" name="Picture 2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a:hlinkClick r:id="rId30"/>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045A0EA7" wp14:editId="0DF0DBFC">
                  <wp:extent cx="114935" cy="114935"/>
                  <wp:effectExtent l="0" t="0" r="0" b="0"/>
                  <wp:docPr id="29" name="Picture 2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a:hlinkClick r:id="rId31"/>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Pr>
                <w:noProof/>
                <w:color w:val="000000"/>
                <w:sz w:val="18"/>
                <w:szCs w:val="18"/>
              </w:rPr>
              <w:drawing>
                <wp:inline distT="0" distB="0" distL="0" distR="0" wp14:anchorId="6C3418AD" wp14:editId="25A3A5A7">
                  <wp:extent cx="114935" cy="114935"/>
                  <wp:effectExtent l="0" t="0" r="0" b="0"/>
                  <wp:docPr id="30" name="Graphic 30">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30" name="Graphic 30">
                            <a:hlinkClick r:id="rId32"/>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14935" cy="114935"/>
                          </a:xfrm>
                          <a:prstGeom prst="rect">
                            <a:avLst/>
                          </a:prstGeom>
                        </pic:spPr>
                      </pic:pic>
                    </a:graphicData>
                  </a:graphic>
                </wp:inline>
              </w:drawing>
            </w:r>
            <w:r>
              <w:rPr>
                <w:color w:val="000000"/>
                <w:sz w:val="18"/>
                <w:szCs w:val="18"/>
              </w:rPr>
              <w:t xml:space="preserve"> </w:t>
            </w:r>
            <w:r>
              <w:rPr>
                <w:noProof/>
                <w:color w:val="000000"/>
                <w:sz w:val="18"/>
                <w:szCs w:val="18"/>
              </w:rPr>
              <w:drawing>
                <wp:inline distT="0" distB="0" distL="0" distR="0" wp14:anchorId="1216B470" wp14:editId="0C14EC15">
                  <wp:extent cx="114935" cy="114935"/>
                  <wp:effectExtent l="0" t="0" r="0" b="0"/>
                  <wp:docPr id="31" name="Picture 3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hlinkClick r:id="rId33"/>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14935" cy="114935"/>
                          </a:xfrm>
                          <a:prstGeom prst="rect">
                            <a:avLst/>
                          </a:prstGeom>
                          <a:noFill/>
                          <a:ln>
                            <a:noFill/>
                          </a:ln>
                        </pic:spPr>
                      </pic:pic>
                    </a:graphicData>
                  </a:graphic>
                </wp:inline>
              </w:drawing>
            </w:r>
            <w:r>
              <w:rPr>
                <w:color w:val="000000"/>
                <w:sz w:val="18"/>
                <w:szCs w:val="18"/>
              </w:rPr>
              <w:t xml:space="preserve"> </w:t>
            </w:r>
            <w:r w:rsidRPr="00971F15">
              <w:rPr>
                <w:color w:val="000000"/>
                <w:sz w:val="18"/>
                <w:szCs w:val="18"/>
              </w:rPr>
              <w:t xml:space="preserve">received the D.Sc. degree (Doctor </w:t>
            </w:r>
            <w:proofErr w:type="spellStart"/>
            <w:r w:rsidRPr="00971F15">
              <w:rPr>
                <w:color w:val="000000"/>
                <w:sz w:val="18"/>
                <w:szCs w:val="18"/>
              </w:rPr>
              <w:t>Habilitatus</w:t>
            </w:r>
            <w:proofErr w:type="spellEnd"/>
            <w:r w:rsidRPr="00971F15">
              <w:rPr>
                <w:color w:val="000000"/>
                <w:sz w:val="18"/>
                <w:szCs w:val="18"/>
              </w:rPr>
              <w:t xml:space="preserve"> D.Sc.) in computer science from the Polish Academy of Sciences, Warsaw, Poland, with the Dissertation “Hybrid Intelligent Systems for Pattern Recognition using Soft Computing”</w:t>
            </w:r>
            <w:r>
              <w:rPr>
                <w:color w:val="000000"/>
                <w:sz w:val="18"/>
                <w:szCs w:val="18"/>
              </w:rPr>
              <w:t>.</w:t>
            </w:r>
            <w:r w:rsidRPr="00971F15">
              <w:rPr>
                <w:color w:val="000000"/>
                <w:sz w:val="18"/>
                <w:szCs w:val="18"/>
              </w:rPr>
              <w:t xml:space="preserve"> She is a Professor of Computer Science in the Graduate Division, Tijuana Institute of Technology, Tijuana, Mexico since 1998. In addition, she is serving as Director of Graduate Studies in computer science and Head of the research group on Computational Intelligence (2000–present). Her research interests are in Type-2 Fuzzy Logic, Modular Neural Networks, Pattern Recognition, Neuro-Fuzzy and Genetic-Fuzzy hybrid approaches., She is currently the President of Hispanic American Fuzzy Systems Association (HAFSA) and is the founding Chair of the Mexican Chapter of the IEEE Computational Intelligence Society. </w:t>
            </w:r>
            <w:r>
              <w:rPr>
                <w:color w:val="000000"/>
                <w:sz w:val="18"/>
                <w:szCs w:val="18"/>
              </w:rPr>
              <w:t>Sh</w:t>
            </w:r>
            <w:r w:rsidRPr="00105D69">
              <w:rPr>
                <w:color w:val="000000"/>
                <w:sz w:val="18"/>
                <w:szCs w:val="18"/>
              </w:rPr>
              <w:t xml:space="preserve">e can be contacted at email: </w:t>
            </w:r>
            <w:r w:rsidRPr="00EA2B1D">
              <w:rPr>
                <w:color w:val="000000"/>
                <w:sz w:val="18"/>
                <w:szCs w:val="18"/>
              </w:rPr>
              <w:t>pmelin@tectijuana.mx</w:t>
            </w:r>
            <w:r>
              <w:rPr>
                <w:color w:val="000000"/>
                <w:sz w:val="18"/>
                <w:szCs w:val="18"/>
              </w:rPr>
              <w:t>.</w:t>
            </w:r>
          </w:p>
        </w:tc>
      </w:tr>
      <w:bookmarkEnd w:id="11"/>
    </w:tbl>
    <w:p w14:paraId="37D0DB45" w14:textId="77777777" w:rsidR="00E619D6" w:rsidRPr="003D6B19" w:rsidRDefault="00E619D6" w:rsidP="00F15BF4">
      <w:pPr>
        <w:ind w:firstLine="720"/>
        <w:jc w:val="both"/>
        <w:rPr>
          <w:iCs/>
          <w:lang w:val="en-ID"/>
        </w:rPr>
      </w:pPr>
    </w:p>
    <w:sectPr w:rsidR="00E619D6" w:rsidRPr="003D6B19" w:rsidSect="002A276C">
      <w:headerReference w:type="even" r:id="rId34"/>
      <w:headerReference w:type="default" r:id="rId35"/>
      <w:footerReference w:type="even" r:id="rId36"/>
      <w:footerReference w:type="default" r:id="rId37"/>
      <w:headerReference w:type="first" r:id="rId38"/>
      <w:footerReference w:type="first" r:id="rId39"/>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98FE8" w14:textId="77777777" w:rsidR="005D366F" w:rsidRDefault="005D366F">
      <w:r>
        <w:separator/>
      </w:r>
    </w:p>
  </w:endnote>
  <w:endnote w:type="continuationSeparator" w:id="0">
    <w:p w14:paraId="3ECF442D" w14:textId="77777777" w:rsidR="005D366F" w:rsidRDefault="005D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62BC2" w14:textId="24ADC624"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65920" behindDoc="0" locked="0" layoutInCell="1" allowOverlap="1" wp14:anchorId="307E942D" wp14:editId="4824D50D">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685A8" id="Line 3"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Gn8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"/>
          </w:pict>
        </mc:Fallback>
      </mc:AlternateContent>
    </w:r>
    <w:r w:rsidR="00525D24">
      <w:t>TEL</w:t>
    </w:r>
    <w:r w:rsidR="00525D24" w:rsidRPr="008B3F47">
      <w:rPr>
        <w:noProof/>
        <w:lang w:val="en-GB" w:eastAsia="en-GB"/>
      </w:rPr>
      <w:t>KOMNIKA</w:t>
    </w:r>
    <w:r w:rsidR="00525D24">
      <w:rPr>
        <w:noProof/>
        <w:lang w:val="en-GB" w:eastAsia="en-GB"/>
      </w:rPr>
      <w:t xml:space="preserve"> </w:t>
    </w:r>
    <w:r w:rsidR="00525D24" w:rsidRPr="00B50C1D">
      <w:rPr>
        <w:noProof/>
        <w:lang w:val="en-GB" w:eastAsia="en-GB"/>
      </w:rPr>
      <w:t>Telecommun</w:t>
    </w:r>
    <w:r w:rsidR="00525D24">
      <w:rPr>
        <w:noProof/>
        <w:lang w:val="en-GB" w:eastAsia="en-GB"/>
      </w:rPr>
      <w:t xml:space="preserve"> Comput El </w:t>
    </w:r>
    <w:r w:rsidR="00525D24" w:rsidRPr="00B54218">
      <w:rPr>
        <w:noProof/>
        <w:lang w:val="en-GB" w:eastAsia="en-GB"/>
      </w:rPr>
      <w:t>Control</w:t>
    </w:r>
    <w:r w:rsidR="00525D24" w:rsidRPr="00B54218">
      <w:t xml:space="preserve">, Vol. </w:t>
    </w:r>
    <w:r w:rsidR="00E554F6">
      <w:t>99</w:t>
    </w:r>
    <w:r w:rsidR="00525D24" w:rsidRPr="00B54218">
      <w:t xml:space="preserve">, No. </w:t>
    </w:r>
    <w:r w:rsidR="00E554F6">
      <w:t>1</w:t>
    </w:r>
    <w:r w:rsidR="00525D24" w:rsidRPr="00B54218">
      <w:t>, Month 20</w:t>
    </w:r>
    <w:r w:rsidR="00E554F6">
      <w:t>99</w:t>
    </w:r>
    <w:r w:rsidR="00525D24" w:rsidRPr="00B54218">
      <w:t xml:space="preserve">: </w:t>
    </w:r>
    <w:r w:rsidR="00E554F6">
      <w:t>1</w:t>
    </w:r>
    <w:r w:rsidR="00525D24" w:rsidRPr="00B54218">
      <w:t>-</w:t>
    </w:r>
    <w:r w:rsidR="00E554F6">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63360" behindDoc="0" locked="0" layoutInCell="1" allowOverlap="1" wp14:anchorId="62A3734C" wp14:editId="41DCFD9A">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F5AAD" id="Line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4ip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1DD03" w14:textId="1AF45B70"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6192" behindDoc="0" locked="0" layoutInCell="1" allowOverlap="1" wp14:anchorId="066E0B6C" wp14:editId="3C59DF62">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8ABF610"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mP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"/>
          </w:pict>
        </mc:Fallback>
      </mc:AlternateContent>
    </w:r>
    <w:r w:rsidR="00C854C1" w:rsidRPr="00C854C1">
      <w:rPr>
        <w:b/>
        <w:i/>
        <w:szCs w:val="18"/>
      </w:rPr>
      <w:t>Journal homepage</w:t>
    </w:r>
    <w:r w:rsidR="00C854C1">
      <w:rPr>
        <w:i/>
        <w:szCs w:val="18"/>
      </w:rPr>
      <w:t xml:space="preserve">: </w:t>
    </w:r>
    <w:r w:rsidR="00525D24" w:rsidRPr="00D2728B">
      <w:rPr>
        <w:i/>
        <w:szCs w:val="18"/>
      </w:rPr>
      <w:t>http://journal.uad.ac.id/index.php/TELKOMNIKA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55C2CA" w14:textId="77777777" w:rsidR="005D366F" w:rsidRDefault="005D366F">
      <w:r>
        <w:separator/>
      </w:r>
    </w:p>
  </w:footnote>
  <w:footnote w:type="continuationSeparator" w:id="0">
    <w:p w14:paraId="5C07E211" w14:textId="77777777" w:rsidR="005D366F" w:rsidRDefault="005D36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8E139" w14:textId="62AC4571"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3C7673">
      <w:rPr>
        <w:rStyle w:val="PageNumber"/>
        <w:noProof/>
      </w:rPr>
      <w:t>2</w:t>
    </w:r>
    <w:r w:rsidRPr="003D5B84">
      <w:rPr>
        <w:rStyle w:val="PageNumber"/>
      </w:rPr>
      <w:fldChar w:fldCharType="end"/>
    </w:r>
  </w:p>
  <w:p w14:paraId="7F150106" w14:textId="192AF630"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3120" behindDoc="0" locked="0" layoutInCell="1" allowOverlap="1" wp14:anchorId="36240665" wp14:editId="20538040">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32B5E5"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qC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bookmarkStart w:id="13" w:name="_Hlk24008618"/>
    <w:r w:rsidR="00525D24" w:rsidRPr="008B3F47">
      <w:t>1693-6930</w:t>
    </w:r>
    <w:bookmarkEnd w:id="1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4BB40" w14:textId="08E8B7B2"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3C7673">
      <w:rPr>
        <w:rStyle w:val="PageNumber"/>
        <w:noProof/>
      </w:rPr>
      <w:t>3</w:t>
    </w:r>
    <w:r w:rsidRPr="003D5B84">
      <w:rPr>
        <w:rStyle w:val="PageNumber"/>
      </w:rPr>
      <w:fldChar w:fldCharType="end"/>
    </w:r>
  </w:p>
  <w:p w14:paraId="72D04B55" w14:textId="75ACA36A" w:rsidR="00097958" w:rsidRPr="003D5B84" w:rsidRDefault="00525D24" w:rsidP="00222701">
    <w:pPr>
      <w:pStyle w:val="Header"/>
      <w:tabs>
        <w:tab w:val="clear" w:pos="4320"/>
        <w:tab w:val="clear" w:pos="8640"/>
        <w:tab w:val="left" w:pos="0"/>
        <w:tab w:val="center" w:pos="4301"/>
        <w:tab w:val="left" w:pos="7938"/>
      </w:tabs>
    </w:pPr>
    <w:r w:rsidRPr="008B3F47">
      <w:rPr>
        <w:noProof/>
        <w:lang w:val="en-GB" w:eastAsia="en-GB"/>
      </w:rPr>
      <w:t>TELKOMNIKA</w:t>
    </w:r>
    <w:r>
      <w:rPr>
        <w:noProof/>
        <w:lang w:val="en-GB" w:eastAsia="en-GB"/>
      </w:rPr>
      <w:t xml:space="preserve"> </w:t>
    </w:r>
    <w:r w:rsidRPr="00B50C1D">
      <w:rPr>
        <w:noProof/>
        <w:lang w:val="en-GB" w:eastAsia="en-GB"/>
      </w:rPr>
      <w:t>Telecommun</w:t>
    </w:r>
    <w:r>
      <w:rPr>
        <w:noProof/>
        <w:lang w:val="en-GB" w:eastAsia="en-GB"/>
      </w:rPr>
      <w:t xml:space="preserve"> Comput El Control</w:t>
    </w:r>
    <w:r w:rsidR="00A93117">
      <w:rPr>
        <w:noProof/>
        <w:lang w:val="en-GB" w:eastAsia="en-GB"/>
      </w:rPr>
      <w:tab/>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9264" behindDoc="0" locked="0" layoutInCell="1" allowOverlap="1" wp14:anchorId="485510DB" wp14:editId="3E6BC9AD">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CCB029"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nnb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0E317" w14:textId="77777777" w:rsidR="00525D24" w:rsidRPr="005936BD" w:rsidRDefault="00525D24" w:rsidP="00525D24">
    <w:pPr>
      <w:pStyle w:val="Header"/>
      <w:tabs>
        <w:tab w:val="clear" w:pos="4320"/>
        <w:tab w:val="clear" w:pos="8640"/>
      </w:tabs>
      <w:ind w:right="45"/>
      <w:rPr>
        <w:b/>
        <w:bCs/>
      </w:rPr>
    </w:pPr>
    <w:r w:rsidRPr="005936BD">
      <w:rPr>
        <w:b/>
        <w:bCs/>
      </w:rPr>
      <w:t>TELKOMNIKA Telecommunication Computing Electronics and Control</w:t>
    </w:r>
  </w:p>
  <w:p w14:paraId="1DC0266F" w14:textId="77777777" w:rsidR="00E554F6" w:rsidRPr="00E554F6" w:rsidRDefault="00E554F6" w:rsidP="00E554F6">
    <w:pPr>
      <w:pStyle w:val="Header"/>
      <w:tabs>
        <w:tab w:val="clear" w:pos="4320"/>
        <w:tab w:val="clear" w:pos="8640"/>
      </w:tabs>
      <w:ind w:right="45"/>
    </w:pPr>
    <w:bookmarkStart w:id="14" w:name="_Hlk80000548"/>
    <w:r w:rsidRPr="00E554F6">
      <w:t>Vol. 99, No. 1, Month 2099, pp. 1~1x</w:t>
    </w:r>
  </w:p>
  <w:bookmarkEnd w:id="14"/>
  <w:p w14:paraId="2A371CCD" w14:textId="7D47B83D" w:rsidR="00097958" w:rsidRDefault="00525D24" w:rsidP="00525D24">
    <w:pPr>
      <w:pStyle w:val="Header"/>
      <w:tabs>
        <w:tab w:val="clear" w:pos="4320"/>
        <w:tab w:val="clear" w:pos="8640"/>
        <w:tab w:val="left" w:pos="7938"/>
        <w:tab w:val="right" w:pos="8789"/>
      </w:tabs>
      <w:rPr>
        <w:rStyle w:val="PageNumber"/>
      </w:rPr>
    </w:pPr>
    <w:r w:rsidRPr="005936BD">
      <w:t xml:space="preserve">ISSN: </w:t>
    </w:r>
    <w:bookmarkStart w:id="15" w:name="_Hlk24008550"/>
    <w:r w:rsidRPr="005936BD">
      <w:t>1693-6930</w:t>
    </w:r>
    <w:bookmarkEnd w:id="15"/>
    <w:r w:rsidRPr="005936BD">
      <w:t>, DOI: 10.12928/TELKOMNIKA.v</w:t>
    </w:r>
    <w:r w:rsidR="00E554F6">
      <w:t>99</w:t>
    </w:r>
    <w:r w:rsidRPr="005936BD">
      <w:t>i</w:t>
    </w:r>
    <w:r w:rsidR="00E554F6">
      <w:t>1</w:t>
    </w:r>
    <w:r w:rsidRPr="005936BD">
      <w:t>.paper</w:t>
    </w:r>
    <w:r>
      <w:t>ID</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6C0A32">
      <w:rPr>
        <w:rStyle w:val="PageNumber"/>
        <w:noProof/>
      </w:rPr>
      <w:t>1</w:t>
    </w:r>
    <w:r w:rsidR="00C3666D" w:rsidRPr="003D5B84">
      <w:rPr>
        <w:rStyle w:val="PageNumber"/>
      </w:rPr>
      <w:fldChar w:fldCharType="end"/>
    </w:r>
    <w:r w:rsidR="00050148">
      <w:rPr>
        <w:noProof/>
      </w:rPr>
      <mc:AlternateContent>
        <mc:Choice Requires="wps">
          <w:drawing>
            <wp:anchor distT="0" distB="0" distL="114300" distR="114300" simplePos="0" relativeHeight="251655680" behindDoc="0" locked="0" layoutInCell="1" allowOverlap="1" wp14:anchorId="480481AD" wp14:editId="65CB1E6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76479F"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rz3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F7ADF"/>
    <w:multiLevelType w:val="hybridMultilevel"/>
    <w:tmpl w:val="A64E6ACE"/>
    <w:lvl w:ilvl="0" w:tplc="4456FDDC">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1"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A3B17"/>
    <w:multiLevelType w:val="multilevel"/>
    <w:tmpl w:val="DC72A8A4"/>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720" w:hanging="360"/>
      </w:pPr>
      <w:rPr>
        <w:rFont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16cid:durableId="775953419">
    <w:abstractNumId w:val="15"/>
  </w:num>
  <w:num w:numId="2" w16cid:durableId="1629050010">
    <w:abstractNumId w:val="10"/>
  </w:num>
  <w:num w:numId="3" w16cid:durableId="2091853317">
    <w:abstractNumId w:val="19"/>
  </w:num>
  <w:num w:numId="4" w16cid:durableId="1272860460">
    <w:abstractNumId w:val="9"/>
  </w:num>
  <w:num w:numId="5" w16cid:durableId="813374175">
    <w:abstractNumId w:val="12"/>
  </w:num>
  <w:num w:numId="6" w16cid:durableId="312682192">
    <w:abstractNumId w:val="16"/>
  </w:num>
  <w:num w:numId="7" w16cid:durableId="174737327">
    <w:abstractNumId w:val="13"/>
  </w:num>
  <w:num w:numId="8" w16cid:durableId="973028647">
    <w:abstractNumId w:val="11"/>
  </w:num>
  <w:num w:numId="9" w16cid:durableId="2143960726">
    <w:abstractNumId w:val="6"/>
  </w:num>
  <w:num w:numId="10" w16cid:durableId="495847147">
    <w:abstractNumId w:val="1"/>
  </w:num>
  <w:num w:numId="11" w16cid:durableId="1916747044">
    <w:abstractNumId w:val="0"/>
  </w:num>
  <w:num w:numId="12" w16cid:durableId="1291591672">
    <w:abstractNumId w:val="3"/>
  </w:num>
  <w:num w:numId="13" w16cid:durableId="1366101070">
    <w:abstractNumId w:val="2"/>
  </w:num>
  <w:num w:numId="14" w16cid:durableId="241374528">
    <w:abstractNumId w:val="4"/>
  </w:num>
  <w:num w:numId="15" w16cid:durableId="1291741477">
    <w:abstractNumId w:val="18"/>
  </w:num>
  <w:num w:numId="16" w16cid:durableId="819540391">
    <w:abstractNumId w:val="5"/>
  </w:num>
  <w:num w:numId="17" w16cid:durableId="104464480">
    <w:abstractNumId w:val="17"/>
  </w:num>
  <w:num w:numId="18" w16cid:durableId="135314406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654742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3537127">
    <w:abstractNumId w:val="14"/>
  </w:num>
  <w:num w:numId="21" w16cid:durableId="1266038621">
    <w:abstractNumId w:val="7"/>
  </w:num>
  <w:num w:numId="22" w16cid:durableId="1988320331">
    <w:abstractNumId w:val="7"/>
  </w:num>
  <w:num w:numId="23" w16cid:durableId="1533877827">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4633"/>
    <w:rsid w:val="000157FD"/>
    <w:rsid w:val="00015F2A"/>
    <w:rsid w:val="00017858"/>
    <w:rsid w:val="00022D47"/>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5E2D"/>
    <w:rsid w:val="00076C16"/>
    <w:rsid w:val="000776D4"/>
    <w:rsid w:val="00080CCD"/>
    <w:rsid w:val="000830A2"/>
    <w:rsid w:val="00083B9D"/>
    <w:rsid w:val="00083DD6"/>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592D"/>
    <w:rsid w:val="000A643C"/>
    <w:rsid w:val="000A7ACA"/>
    <w:rsid w:val="000B0641"/>
    <w:rsid w:val="000B1AEE"/>
    <w:rsid w:val="000B5480"/>
    <w:rsid w:val="000B682B"/>
    <w:rsid w:val="000C03DA"/>
    <w:rsid w:val="000C4B17"/>
    <w:rsid w:val="000C730A"/>
    <w:rsid w:val="000D099B"/>
    <w:rsid w:val="000D3712"/>
    <w:rsid w:val="000D50C8"/>
    <w:rsid w:val="000D6591"/>
    <w:rsid w:val="000D67F7"/>
    <w:rsid w:val="000D6BC3"/>
    <w:rsid w:val="000E0AE1"/>
    <w:rsid w:val="000E0C84"/>
    <w:rsid w:val="000E0CE9"/>
    <w:rsid w:val="000E0E3C"/>
    <w:rsid w:val="000E1C9D"/>
    <w:rsid w:val="000E28E0"/>
    <w:rsid w:val="000E46C5"/>
    <w:rsid w:val="000E46CF"/>
    <w:rsid w:val="000E4FD6"/>
    <w:rsid w:val="000E708C"/>
    <w:rsid w:val="000F279B"/>
    <w:rsid w:val="000F29E1"/>
    <w:rsid w:val="000F61E2"/>
    <w:rsid w:val="000F703D"/>
    <w:rsid w:val="000F7ED5"/>
    <w:rsid w:val="0010046E"/>
    <w:rsid w:val="00102A61"/>
    <w:rsid w:val="0010304E"/>
    <w:rsid w:val="001041EB"/>
    <w:rsid w:val="001045B1"/>
    <w:rsid w:val="00104BF1"/>
    <w:rsid w:val="00105D69"/>
    <w:rsid w:val="00106F02"/>
    <w:rsid w:val="001078A8"/>
    <w:rsid w:val="00107904"/>
    <w:rsid w:val="00111779"/>
    <w:rsid w:val="001129DE"/>
    <w:rsid w:val="0011369D"/>
    <w:rsid w:val="00113F18"/>
    <w:rsid w:val="00114470"/>
    <w:rsid w:val="00117326"/>
    <w:rsid w:val="00117C85"/>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0F32"/>
    <w:rsid w:val="001414E2"/>
    <w:rsid w:val="001434C3"/>
    <w:rsid w:val="001441CB"/>
    <w:rsid w:val="00144CB0"/>
    <w:rsid w:val="00145453"/>
    <w:rsid w:val="0014611F"/>
    <w:rsid w:val="00146861"/>
    <w:rsid w:val="00146FBB"/>
    <w:rsid w:val="001517E4"/>
    <w:rsid w:val="00151E7C"/>
    <w:rsid w:val="00153387"/>
    <w:rsid w:val="00153B62"/>
    <w:rsid w:val="00153D77"/>
    <w:rsid w:val="00154C55"/>
    <w:rsid w:val="0015600A"/>
    <w:rsid w:val="00157C06"/>
    <w:rsid w:val="00161845"/>
    <w:rsid w:val="00162849"/>
    <w:rsid w:val="00166432"/>
    <w:rsid w:val="00167012"/>
    <w:rsid w:val="001671A8"/>
    <w:rsid w:val="0016761A"/>
    <w:rsid w:val="00167BE2"/>
    <w:rsid w:val="0017238E"/>
    <w:rsid w:val="00176C7E"/>
    <w:rsid w:val="00177E2C"/>
    <w:rsid w:val="00180992"/>
    <w:rsid w:val="00180FD2"/>
    <w:rsid w:val="00180FD4"/>
    <w:rsid w:val="00181509"/>
    <w:rsid w:val="00181965"/>
    <w:rsid w:val="00185202"/>
    <w:rsid w:val="00187B69"/>
    <w:rsid w:val="0019050C"/>
    <w:rsid w:val="00192E8C"/>
    <w:rsid w:val="0019377B"/>
    <w:rsid w:val="0019391D"/>
    <w:rsid w:val="00193F7B"/>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42E3"/>
    <w:rsid w:val="001C57FA"/>
    <w:rsid w:val="001C7AC5"/>
    <w:rsid w:val="001D04CA"/>
    <w:rsid w:val="001D19C3"/>
    <w:rsid w:val="001D218B"/>
    <w:rsid w:val="001D4493"/>
    <w:rsid w:val="001E0AB3"/>
    <w:rsid w:val="001E1922"/>
    <w:rsid w:val="001E2071"/>
    <w:rsid w:val="001E31DF"/>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78BD"/>
    <w:rsid w:val="00237B26"/>
    <w:rsid w:val="00240303"/>
    <w:rsid w:val="0024180A"/>
    <w:rsid w:val="0024268D"/>
    <w:rsid w:val="00250442"/>
    <w:rsid w:val="00250A66"/>
    <w:rsid w:val="00254EC2"/>
    <w:rsid w:val="002550AB"/>
    <w:rsid w:val="00255388"/>
    <w:rsid w:val="00256322"/>
    <w:rsid w:val="002575A8"/>
    <w:rsid w:val="00260476"/>
    <w:rsid w:val="00261B88"/>
    <w:rsid w:val="0026229E"/>
    <w:rsid w:val="002622CD"/>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253E"/>
    <w:rsid w:val="002833E0"/>
    <w:rsid w:val="0028450D"/>
    <w:rsid w:val="00291EBF"/>
    <w:rsid w:val="00296D8E"/>
    <w:rsid w:val="002A0772"/>
    <w:rsid w:val="002A2763"/>
    <w:rsid w:val="002A276C"/>
    <w:rsid w:val="002B0601"/>
    <w:rsid w:val="002B10C7"/>
    <w:rsid w:val="002B66EF"/>
    <w:rsid w:val="002B6EC9"/>
    <w:rsid w:val="002B7609"/>
    <w:rsid w:val="002C0665"/>
    <w:rsid w:val="002C1C37"/>
    <w:rsid w:val="002C2C92"/>
    <w:rsid w:val="002C4749"/>
    <w:rsid w:val="002C49CF"/>
    <w:rsid w:val="002C6317"/>
    <w:rsid w:val="002D07B9"/>
    <w:rsid w:val="002D0C71"/>
    <w:rsid w:val="002D0F04"/>
    <w:rsid w:val="002D31A6"/>
    <w:rsid w:val="002D4A56"/>
    <w:rsid w:val="002D797A"/>
    <w:rsid w:val="002E0BC4"/>
    <w:rsid w:val="002E184C"/>
    <w:rsid w:val="002E2CAE"/>
    <w:rsid w:val="002E60FC"/>
    <w:rsid w:val="002E6409"/>
    <w:rsid w:val="002F137A"/>
    <w:rsid w:val="002F267D"/>
    <w:rsid w:val="002F3D30"/>
    <w:rsid w:val="002F41A4"/>
    <w:rsid w:val="002F48E3"/>
    <w:rsid w:val="002F6BBA"/>
    <w:rsid w:val="002F6DFA"/>
    <w:rsid w:val="002F7C5F"/>
    <w:rsid w:val="0030038F"/>
    <w:rsid w:val="00302D7F"/>
    <w:rsid w:val="00305125"/>
    <w:rsid w:val="00306442"/>
    <w:rsid w:val="003069FB"/>
    <w:rsid w:val="00311740"/>
    <w:rsid w:val="00312C0C"/>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DD"/>
    <w:rsid w:val="00343A49"/>
    <w:rsid w:val="0034452C"/>
    <w:rsid w:val="00346441"/>
    <w:rsid w:val="003475EC"/>
    <w:rsid w:val="0035076B"/>
    <w:rsid w:val="00352BEB"/>
    <w:rsid w:val="00353885"/>
    <w:rsid w:val="00354A58"/>
    <w:rsid w:val="00356070"/>
    <w:rsid w:val="00361EB1"/>
    <w:rsid w:val="003629D1"/>
    <w:rsid w:val="003637CE"/>
    <w:rsid w:val="003715EC"/>
    <w:rsid w:val="00373753"/>
    <w:rsid w:val="0037476F"/>
    <w:rsid w:val="003751C8"/>
    <w:rsid w:val="00376867"/>
    <w:rsid w:val="00376A96"/>
    <w:rsid w:val="003772AC"/>
    <w:rsid w:val="0038168A"/>
    <w:rsid w:val="00381E56"/>
    <w:rsid w:val="003826FF"/>
    <w:rsid w:val="003864A3"/>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28F"/>
    <w:rsid w:val="003B567E"/>
    <w:rsid w:val="003B6932"/>
    <w:rsid w:val="003B79EB"/>
    <w:rsid w:val="003B7ED0"/>
    <w:rsid w:val="003C0D91"/>
    <w:rsid w:val="003C3E42"/>
    <w:rsid w:val="003C4B05"/>
    <w:rsid w:val="003C578B"/>
    <w:rsid w:val="003C72E2"/>
    <w:rsid w:val="003C7673"/>
    <w:rsid w:val="003D07D2"/>
    <w:rsid w:val="003D5B84"/>
    <w:rsid w:val="003D6B19"/>
    <w:rsid w:val="003D79CF"/>
    <w:rsid w:val="003E0207"/>
    <w:rsid w:val="003E0E36"/>
    <w:rsid w:val="003E304D"/>
    <w:rsid w:val="003E4AA5"/>
    <w:rsid w:val="003E4DD5"/>
    <w:rsid w:val="003E7127"/>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585C"/>
    <w:rsid w:val="00441F35"/>
    <w:rsid w:val="00443205"/>
    <w:rsid w:val="004439D2"/>
    <w:rsid w:val="004503E9"/>
    <w:rsid w:val="00453463"/>
    <w:rsid w:val="00453F49"/>
    <w:rsid w:val="00454966"/>
    <w:rsid w:val="004550E4"/>
    <w:rsid w:val="004637E8"/>
    <w:rsid w:val="00467368"/>
    <w:rsid w:val="004674CD"/>
    <w:rsid w:val="004710EE"/>
    <w:rsid w:val="00472E56"/>
    <w:rsid w:val="004740EC"/>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2575"/>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5F41"/>
    <w:rsid w:val="0050794C"/>
    <w:rsid w:val="0051075B"/>
    <w:rsid w:val="00511236"/>
    <w:rsid w:val="00511539"/>
    <w:rsid w:val="00512DE0"/>
    <w:rsid w:val="0051361F"/>
    <w:rsid w:val="00515455"/>
    <w:rsid w:val="005160A8"/>
    <w:rsid w:val="00516317"/>
    <w:rsid w:val="00516B95"/>
    <w:rsid w:val="005174FF"/>
    <w:rsid w:val="00520EC3"/>
    <w:rsid w:val="0052138C"/>
    <w:rsid w:val="005213A1"/>
    <w:rsid w:val="00521EC1"/>
    <w:rsid w:val="00523156"/>
    <w:rsid w:val="00523362"/>
    <w:rsid w:val="00523B26"/>
    <w:rsid w:val="0052442F"/>
    <w:rsid w:val="00525D24"/>
    <w:rsid w:val="00526CFA"/>
    <w:rsid w:val="00530415"/>
    <w:rsid w:val="0053095F"/>
    <w:rsid w:val="00530CAF"/>
    <w:rsid w:val="0053172B"/>
    <w:rsid w:val="00532941"/>
    <w:rsid w:val="005342C1"/>
    <w:rsid w:val="00535A39"/>
    <w:rsid w:val="005373E3"/>
    <w:rsid w:val="00540DCE"/>
    <w:rsid w:val="00540DD7"/>
    <w:rsid w:val="00541F86"/>
    <w:rsid w:val="00541FCB"/>
    <w:rsid w:val="0054283A"/>
    <w:rsid w:val="00545E9C"/>
    <w:rsid w:val="00547658"/>
    <w:rsid w:val="0054768C"/>
    <w:rsid w:val="0055343D"/>
    <w:rsid w:val="0055649A"/>
    <w:rsid w:val="00563102"/>
    <w:rsid w:val="00572013"/>
    <w:rsid w:val="00573257"/>
    <w:rsid w:val="00575F6D"/>
    <w:rsid w:val="005778F7"/>
    <w:rsid w:val="00577A3F"/>
    <w:rsid w:val="005805DF"/>
    <w:rsid w:val="0058279C"/>
    <w:rsid w:val="0058326E"/>
    <w:rsid w:val="005833B8"/>
    <w:rsid w:val="00583A03"/>
    <w:rsid w:val="005841BA"/>
    <w:rsid w:val="00584301"/>
    <w:rsid w:val="005857EE"/>
    <w:rsid w:val="005877F2"/>
    <w:rsid w:val="00592442"/>
    <w:rsid w:val="0059283B"/>
    <w:rsid w:val="00593E92"/>
    <w:rsid w:val="005949F1"/>
    <w:rsid w:val="00594C35"/>
    <w:rsid w:val="005956F7"/>
    <w:rsid w:val="00595CB2"/>
    <w:rsid w:val="005978C8"/>
    <w:rsid w:val="005A047A"/>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0292"/>
    <w:rsid w:val="005C11D6"/>
    <w:rsid w:val="005C12EA"/>
    <w:rsid w:val="005C1759"/>
    <w:rsid w:val="005C234E"/>
    <w:rsid w:val="005C4941"/>
    <w:rsid w:val="005D02EE"/>
    <w:rsid w:val="005D0C1B"/>
    <w:rsid w:val="005D15FA"/>
    <w:rsid w:val="005D210E"/>
    <w:rsid w:val="005D366F"/>
    <w:rsid w:val="005D3D27"/>
    <w:rsid w:val="005D464B"/>
    <w:rsid w:val="005D7D3A"/>
    <w:rsid w:val="005D7EB1"/>
    <w:rsid w:val="005E51F9"/>
    <w:rsid w:val="005E6EF7"/>
    <w:rsid w:val="005E7007"/>
    <w:rsid w:val="005E736A"/>
    <w:rsid w:val="005E75FC"/>
    <w:rsid w:val="005F042D"/>
    <w:rsid w:val="005F29D1"/>
    <w:rsid w:val="005F3D1C"/>
    <w:rsid w:val="005F534C"/>
    <w:rsid w:val="005F75F8"/>
    <w:rsid w:val="0060348A"/>
    <w:rsid w:val="0060379D"/>
    <w:rsid w:val="006044C7"/>
    <w:rsid w:val="00612242"/>
    <w:rsid w:val="006123B6"/>
    <w:rsid w:val="00613977"/>
    <w:rsid w:val="0061627D"/>
    <w:rsid w:val="00617711"/>
    <w:rsid w:val="006206C7"/>
    <w:rsid w:val="00622EC4"/>
    <w:rsid w:val="0062488B"/>
    <w:rsid w:val="006327F1"/>
    <w:rsid w:val="00636167"/>
    <w:rsid w:val="00644417"/>
    <w:rsid w:val="00647075"/>
    <w:rsid w:val="00652EBE"/>
    <w:rsid w:val="006549EF"/>
    <w:rsid w:val="00655972"/>
    <w:rsid w:val="00655C14"/>
    <w:rsid w:val="00656420"/>
    <w:rsid w:val="0065699B"/>
    <w:rsid w:val="00656AAA"/>
    <w:rsid w:val="00657116"/>
    <w:rsid w:val="00662070"/>
    <w:rsid w:val="0066237A"/>
    <w:rsid w:val="006628A9"/>
    <w:rsid w:val="0066416E"/>
    <w:rsid w:val="00665A9F"/>
    <w:rsid w:val="00665B37"/>
    <w:rsid w:val="00665DA0"/>
    <w:rsid w:val="006719D8"/>
    <w:rsid w:val="0067364F"/>
    <w:rsid w:val="00675D81"/>
    <w:rsid w:val="00676455"/>
    <w:rsid w:val="00676EB9"/>
    <w:rsid w:val="00682510"/>
    <w:rsid w:val="00682661"/>
    <w:rsid w:val="00682B00"/>
    <w:rsid w:val="00684F04"/>
    <w:rsid w:val="00685AA5"/>
    <w:rsid w:val="00685FB4"/>
    <w:rsid w:val="006863DA"/>
    <w:rsid w:val="00687CA7"/>
    <w:rsid w:val="00687D3A"/>
    <w:rsid w:val="006925E2"/>
    <w:rsid w:val="006A0231"/>
    <w:rsid w:val="006A090C"/>
    <w:rsid w:val="006A1384"/>
    <w:rsid w:val="006A34DA"/>
    <w:rsid w:val="006A6246"/>
    <w:rsid w:val="006A6AEE"/>
    <w:rsid w:val="006B027E"/>
    <w:rsid w:val="006B0965"/>
    <w:rsid w:val="006B6754"/>
    <w:rsid w:val="006B71FD"/>
    <w:rsid w:val="006C0661"/>
    <w:rsid w:val="006C0A32"/>
    <w:rsid w:val="006C0E3B"/>
    <w:rsid w:val="006C18AF"/>
    <w:rsid w:val="006C1D12"/>
    <w:rsid w:val="006C5EC9"/>
    <w:rsid w:val="006C7C8B"/>
    <w:rsid w:val="006D24DA"/>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5B9E"/>
    <w:rsid w:val="006F6481"/>
    <w:rsid w:val="006F7480"/>
    <w:rsid w:val="0070124C"/>
    <w:rsid w:val="007017C6"/>
    <w:rsid w:val="007027BB"/>
    <w:rsid w:val="00705140"/>
    <w:rsid w:val="007066C5"/>
    <w:rsid w:val="00710CA7"/>
    <w:rsid w:val="00712FFF"/>
    <w:rsid w:val="007142C8"/>
    <w:rsid w:val="00717A32"/>
    <w:rsid w:val="00720729"/>
    <w:rsid w:val="007212E2"/>
    <w:rsid w:val="00723DEB"/>
    <w:rsid w:val="007240E7"/>
    <w:rsid w:val="007277F9"/>
    <w:rsid w:val="00731AEB"/>
    <w:rsid w:val="00735BBC"/>
    <w:rsid w:val="00740C36"/>
    <w:rsid w:val="00741A8F"/>
    <w:rsid w:val="00742008"/>
    <w:rsid w:val="00743BA0"/>
    <w:rsid w:val="00745A1F"/>
    <w:rsid w:val="00747DFD"/>
    <w:rsid w:val="00753C3E"/>
    <w:rsid w:val="00754329"/>
    <w:rsid w:val="007547A1"/>
    <w:rsid w:val="00756A93"/>
    <w:rsid w:val="0075769A"/>
    <w:rsid w:val="00760506"/>
    <w:rsid w:val="00765DEF"/>
    <w:rsid w:val="00766E46"/>
    <w:rsid w:val="00770E6E"/>
    <w:rsid w:val="00771A7C"/>
    <w:rsid w:val="0077230A"/>
    <w:rsid w:val="00772725"/>
    <w:rsid w:val="00773306"/>
    <w:rsid w:val="00773EB7"/>
    <w:rsid w:val="007751AA"/>
    <w:rsid w:val="00777AD7"/>
    <w:rsid w:val="00784C44"/>
    <w:rsid w:val="007912CE"/>
    <w:rsid w:val="007930BF"/>
    <w:rsid w:val="007934C4"/>
    <w:rsid w:val="0079451D"/>
    <w:rsid w:val="00795966"/>
    <w:rsid w:val="007A04C8"/>
    <w:rsid w:val="007A3102"/>
    <w:rsid w:val="007A3B30"/>
    <w:rsid w:val="007A3FC0"/>
    <w:rsid w:val="007A49BA"/>
    <w:rsid w:val="007A609F"/>
    <w:rsid w:val="007A7484"/>
    <w:rsid w:val="007B3EF9"/>
    <w:rsid w:val="007B57A1"/>
    <w:rsid w:val="007B7535"/>
    <w:rsid w:val="007C0D3D"/>
    <w:rsid w:val="007C2A08"/>
    <w:rsid w:val="007C39E4"/>
    <w:rsid w:val="007C60D8"/>
    <w:rsid w:val="007D0AC6"/>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930"/>
    <w:rsid w:val="00814AD7"/>
    <w:rsid w:val="00815A2E"/>
    <w:rsid w:val="008167BC"/>
    <w:rsid w:val="008168B9"/>
    <w:rsid w:val="00817787"/>
    <w:rsid w:val="00820B4E"/>
    <w:rsid w:val="00822488"/>
    <w:rsid w:val="00822945"/>
    <w:rsid w:val="00823B38"/>
    <w:rsid w:val="00823F1C"/>
    <w:rsid w:val="00824697"/>
    <w:rsid w:val="00827A30"/>
    <w:rsid w:val="008318B8"/>
    <w:rsid w:val="00831DDD"/>
    <w:rsid w:val="00832386"/>
    <w:rsid w:val="008332DA"/>
    <w:rsid w:val="008344C2"/>
    <w:rsid w:val="00834BAC"/>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4EAA"/>
    <w:rsid w:val="008754E6"/>
    <w:rsid w:val="0087776F"/>
    <w:rsid w:val="0088233C"/>
    <w:rsid w:val="0088280A"/>
    <w:rsid w:val="00883EB7"/>
    <w:rsid w:val="00884999"/>
    <w:rsid w:val="00892C9F"/>
    <w:rsid w:val="00892FBD"/>
    <w:rsid w:val="00893AD8"/>
    <w:rsid w:val="00893D2C"/>
    <w:rsid w:val="00894D11"/>
    <w:rsid w:val="0089523F"/>
    <w:rsid w:val="008967E5"/>
    <w:rsid w:val="00897BCF"/>
    <w:rsid w:val="008A07FE"/>
    <w:rsid w:val="008A12AD"/>
    <w:rsid w:val="008A1677"/>
    <w:rsid w:val="008A5452"/>
    <w:rsid w:val="008A6436"/>
    <w:rsid w:val="008A6E5D"/>
    <w:rsid w:val="008B04B3"/>
    <w:rsid w:val="008B060F"/>
    <w:rsid w:val="008B144F"/>
    <w:rsid w:val="008B1A88"/>
    <w:rsid w:val="008B279B"/>
    <w:rsid w:val="008B3B85"/>
    <w:rsid w:val="008B42E3"/>
    <w:rsid w:val="008B4E8C"/>
    <w:rsid w:val="008B60B8"/>
    <w:rsid w:val="008B7CA2"/>
    <w:rsid w:val="008C12BE"/>
    <w:rsid w:val="008C1404"/>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4A3"/>
    <w:rsid w:val="008F05B8"/>
    <w:rsid w:val="008F0C9D"/>
    <w:rsid w:val="008F0D5A"/>
    <w:rsid w:val="008F1C12"/>
    <w:rsid w:val="008F5A4B"/>
    <w:rsid w:val="008F5EF9"/>
    <w:rsid w:val="008F5F6F"/>
    <w:rsid w:val="00900EC1"/>
    <w:rsid w:val="00901097"/>
    <w:rsid w:val="00901214"/>
    <w:rsid w:val="00904D6D"/>
    <w:rsid w:val="00904EC8"/>
    <w:rsid w:val="00906951"/>
    <w:rsid w:val="0091187A"/>
    <w:rsid w:val="00912FBC"/>
    <w:rsid w:val="00913D3B"/>
    <w:rsid w:val="00913F75"/>
    <w:rsid w:val="009162AB"/>
    <w:rsid w:val="00921B30"/>
    <w:rsid w:val="00921D05"/>
    <w:rsid w:val="0092257C"/>
    <w:rsid w:val="00923121"/>
    <w:rsid w:val="00925CC8"/>
    <w:rsid w:val="009314C3"/>
    <w:rsid w:val="0093175D"/>
    <w:rsid w:val="009317FD"/>
    <w:rsid w:val="009406FF"/>
    <w:rsid w:val="00941203"/>
    <w:rsid w:val="009416C1"/>
    <w:rsid w:val="0094264B"/>
    <w:rsid w:val="0094367D"/>
    <w:rsid w:val="00943FA1"/>
    <w:rsid w:val="00945A5C"/>
    <w:rsid w:val="00946389"/>
    <w:rsid w:val="0094738D"/>
    <w:rsid w:val="00950EF7"/>
    <w:rsid w:val="00954DC1"/>
    <w:rsid w:val="00955462"/>
    <w:rsid w:val="009558D7"/>
    <w:rsid w:val="00956EB6"/>
    <w:rsid w:val="00956F83"/>
    <w:rsid w:val="00957064"/>
    <w:rsid w:val="00957C11"/>
    <w:rsid w:val="009617A9"/>
    <w:rsid w:val="009665BE"/>
    <w:rsid w:val="009673AB"/>
    <w:rsid w:val="00970E84"/>
    <w:rsid w:val="00971153"/>
    <w:rsid w:val="00971F15"/>
    <w:rsid w:val="00981036"/>
    <w:rsid w:val="0098116E"/>
    <w:rsid w:val="00981E5F"/>
    <w:rsid w:val="00983846"/>
    <w:rsid w:val="00990CC8"/>
    <w:rsid w:val="0099227E"/>
    <w:rsid w:val="009949C5"/>
    <w:rsid w:val="00997C10"/>
    <w:rsid w:val="009A19B2"/>
    <w:rsid w:val="009B3EC0"/>
    <w:rsid w:val="009B4878"/>
    <w:rsid w:val="009B5FE8"/>
    <w:rsid w:val="009B62B1"/>
    <w:rsid w:val="009B76C2"/>
    <w:rsid w:val="009C080D"/>
    <w:rsid w:val="009C142A"/>
    <w:rsid w:val="009C5293"/>
    <w:rsid w:val="009D41DF"/>
    <w:rsid w:val="009D6670"/>
    <w:rsid w:val="009D709E"/>
    <w:rsid w:val="009E0249"/>
    <w:rsid w:val="009E055A"/>
    <w:rsid w:val="009E0F0F"/>
    <w:rsid w:val="009E2DB3"/>
    <w:rsid w:val="009E36AC"/>
    <w:rsid w:val="009E41D1"/>
    <w:rsid w:val="009E4FB4"/>
    <w:rsid w:val="009E5694"/>
    <w:rsid w:val="009E585B"/>
    <w:rsid w:val="009E7D5A"/>
    <w:rsid w:val="009F040E"/>
    <w:rsid w:val="009F1F65"/>
    <w:rsid w:val="009F3146"/>
    <w:rsid w:val="00A01765"/>
    <w:rsid w:val="00A02DD3"/>
    <w:rsid w:val="00A04D6C"/>
    <w:rsid w:val="00A05622"/>
    <w:rsid w:val="00A100B6"/>
    <w:rsid w:val="00A1136A"/>
    <w:rsid w:val="00A135A2"/>
    <w:rsid w:val="00A142CD"/>
    <w:rsid w:val="00A16250"/>
    <w:rsid w:val="00A17296"/>
    <w:rsid w:val="00A17ADA"/>
    <w:rsid w:val="00A17D28"/>
    <w:rsid w:val="00A21621"/>
    <w:rsid w:val="00A22457"/>
    <w:rsid w:val="00A22900"/>
    <w:rsid w:val="00A31E71"/>
    <w:rsid w:val="00A3312E"/>
    <w:rsid w:val="00A3340E"/>
    <w:rsid w:val="00A338E2"/>
    <w:rsid w:val="00A42248"/>
    <w:rsid w:val="00A426C8"/>
    <w:rsid w:val="00A42ABF"/>
    <w:rsid w:val="00A4427E"/>
    <w:rsid w:val="00A45398"/>
    <w:rsid w:val="00A46733"/>
    <w:rsid w:val="00A46ECF"/>
    <w:rsid w:val="00A477B8"/>
    <w:rsid w:val="00A47AD5"/>
    <w:rsid w:val="00A47F03"/>
    <w:rsid w:val="00A51683"/>
    <w:rsid w:val="00A51892"/>
    <w:rsid w:val="00A52037"/>
    <w:rsid w:val="00A52149"/>
    <w:rsid w:val="00A52366"/>
    <w:rsid w:val="00A52EAC"/>
    <w:rsid w:val="00A52FC1"/>
    <w:rsid w:val="00A5654D"/>
    <w:rsid w:val="00A56DE3"/>
    <w:rsid w:val="00A5724F"/>
    <w:rsid w:val="00A61C92"/>
    <w:rsid w:val="00A6214E"/>
    <w:rsid w:val="00A6261F"/>
    <w:rsid w:val="00A662A3"/>
    <w:rsid w:val="00A6661A"/>
    <w:rsid w:val="00A6697F"/>
    <w:rsid w:val="00A67CD8"/>
    <w:rsid w:val="00A71C8A"/>
    <w:rsid w:val="00A71ED6"/>
    <w:rsid w:val="00A760E0"/>
    <w:rsid w:val="00A77E76"/>
    <w:rsid w:val="00A80090"/>
    <w:rsid w:val="00A82646"/>
    <w:rsid w:val="00A85A64"/>
    <w:rsid w:val="00A92430"/>
    <w:rsid w:val="00A93117"/>
    <w:rsid w:val="00A93118"/>
    <w:rsid w:val="00A93D4E"/>
    <w:rsid w:val="00A94333"/>
    <w:rsid w:val="00A94C5E"/>
    <w:rsid w:val="00A950F7"/>
    <w:rsid w:val="00A97D90"/>
    <w:rsid w:val="00AA3EC5"/>
    <w:rsid w:val="00AA48F5"/>
    <w:rsid w:val="00AA4B39"/>
    <w:rsid w:val="00AA512B"/>
    <w:rsid w:val="00AA59BE"/>
    <w:rsid w:val="00AA608B"/>
    <w:rsid w:val="00AA77C0"/>
    <w:rsid w:val="00AB1CD7"/>
    <w:rsid w:val="00AB1F5C"/>
    <w:rsid w:val="00AB4311"/>
    <w:rsid w:val="00AB49DA"/>
    <w:rsid w:val="00AB59A7"/>
    <w:rsid w:val="00AB68F7"/>
    <w:rsid w:val="00AC06A7"/>
    <w:rsid w:val="00AC077B"/>
    <w:rsid w:val="00AC0C82"/>
    <w:rsid w:val="00AC1F08"/>
    <w:rsid w:val="00AC374E"/>
    <w:rsid w:val="00AC5A92"/>
    <w:rsid w:val="00AC60ED"/>
    <w:rsid w:val="00AD2373"/>
    <w:rsid w:val="00AD4DF3"/>
    <w:rsid w:val="00AD564C"/>
    <w:rsid w:val="00AD5DF4"/>
    <w:rsid w:val="00AD7639"/>
    <w:rsid w:val="00AE3182"/>
    <w:rsid w:val="00AE43A3"/>
    <w:rsid w:val="00AF095A"/>
    <w:rsid w:val="00AF1119"/>
    <w:rsid w:val="00AF59C3"/>
    <w:rsid w:val="00B011BB"/>
    <w:rsid w:val="00B012F2"/>
    <w:rsid w:val="00B0163B"/>
    <w:rsid w:val="00B04312"/>
    <w:rsid w:val="00B0539A"/>
    <w:rsid w:val="00B06669"/>
    <w:rsid w:val="00B06F09"/>
    <w:rsid w:val="00B07DF0"/>
    <w:rsid w:val="00B14782"/>
    <w:rsid w:val="00B14B32"/>
    <w:rsid w:val="00B14BA4"/>
    <w:rsid w:val="00B14C9C"/>
    <w:rsid w:val="00B14CD3"/>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514D3"/>
    <w:rsid w:val="00B51BC7"/>
    <w:rsid w:val="00B52134"/>
    <w:rsid w:val="00B56063"/>
    <w:rsid w:val="00B570B0"/>
    <w:rsid w:val="00B57714"/>
    <w:rsid w:val="00B61620"/>
    <w:rsid w:val="00B64061"/>
    <w:rsid w:val="00B65BB6"/>
    <w:rsid w:val="00B7048C"/>
    <w:rsid w:val="00B71D8A"/>
    <w:rsid w:val="00B73F7D"/>
    <w:rsid w:val="00B743B9"/>
    <w:rsid w:val="00B768D7"/>
    <w:rsid w:val="00B778A3"/>
    <w:rsid w:val="00B809F3"/>
    <w:rsid w:val="00B85932"/>
    <w:rsid w:val="00B87588"/>
    <w:rsid w:val="00B92474"/>
    <w:rsid w:val="00B9642F"/>
    <w:rsid w:val="00B96D0A"/>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359C"/>
    <w:rsid w:val="00BE520C"/>
    <w:rsid w:val="00BF16AD"/>
    <w:rsid w:val="00BF2C8B"/>
    <w:rsid w:val="00BF34A7"/>
    <w:rsid w:val="00BF3B14"/>
    <w:rsid w:val="00BF6218"/>
    <w:rsid w:val="00C00EA2"/>
    <w:rsid w:val="00C011EE"/>
    <w:rsid w:val="00C02535"/>
    <w:rsid w:val="00C0352A"/>
    <w:rsid w:val="00C0425B"/>
    <w:rsid w:val="00C05811"/>
    <w:rsid w:val="00C0712B"/>
    <w:rsid w:val="00C07BEF"/>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11E4"/>
    <w:rsid w:val="00C322BB"/>
    <w:rsid w:val="00C33540"/>
    <w:rsid w:val="00C350F2"/>
    <w:rsid w:val="00C35B73"/>
    <w:rsid w:val="00C35B8F"/>
    <w:rsid w:val="00C35FBE"/>
    <w:rsid w:val="00C3666D"/>
    <w:rsid w:val="00C40E59"/>
    <w:rsid w:val="00C418BF"/>
    <w:rsid w:val="00C4258F"/>
    <w:rsid w:val="00C44562"/>
    <w:rsid w:val="00C453FB"/>
    <w:rsid w:val="00C45DED"/>
    <w:rsid w:val="00C4630B"/>
    <w:rsid w:val="00C50166"/>
    <w:rsid w:val="00C502FF"/>
    <w:rsid w:val="00C523CB"/>
    <w:rsid w:val="00C55BED"/>
    <w:rsid w:val="00C55D03"/>
    <w:rsid w:val="00C55F3E"/>
    <w:rsid w:val="00C57311"/>
    <w:rsid w:val="00C61929"/>
    <w:rsid w:val="00C62E71"/>
    <w:rsid w:val="00C63059"/>
    <w:rsid w:val="00C631FE"/>
    <w:rsid w:val="00C63C08"/>
    <w:rsid w:val="00C647D4"/>
    <w:rsid w:val="00C66CCC"/>
    <w:rsid w:val="00C676A4"/>
    <w:rsid w:val="00C67EA4"/>
    <w:rsid w:val="00C700B6"/>
    <w:rsid w:val="00C7182A"/>
    <w:rsid w:val="00C723B3"/>
    <w:rsid w:val="00C72659"/>
    <w:rsid w:val="00C734AC"/>
    <w:rsid w:val="00C73BD7"/>
    <w:rsid w:val="00C80CAC"/>
    <w:rsid w:val="00C81C9C"/>
    <w:rsid w:val="00C8516B"/>
    <w:rsid w:val="00C854C1"/>
    <w:rsid w:val="00C85B81"/>
    <w:rsid w:val="00C9178F"/>
    <w:rsid w:val="00C93F76"/>
    <w:rsid w:val="00C9655A"/>
    <w:rsid w:val="00C96FCA"/>
    <w:rsid w:val="00C9754D"/>
    <w:rsid w:val="00C975DF"/>
    <w:rsid w:val="00CA5D84"/>
    <w:rsid w:val="00CC1960"/>
    <w:rsid w:val="00CD4F70"/>
    <w:rsid w:val="00CE1CF3"/>
    <w:rsid w:val="00CE4BC0"/>
    <w:rsid w:val="00CE70F3"/>
    <w:rsid w:val="00CE7659"/>
    <w:rsid w:val="00CF0E18"/>
    <w:rsid w:val="00CF29A4"/>
    <w:rsid w:val="00CF2F2E"/>
    <w:rsid w:val="00CF4D01"/>
    <w:rsid w:val="00CF624D"/>
    <w:rsid w:val="00CF6E34"/>
    <w:rsid w:val="00D04534"/>
    <w:rsid w:val="00D0495F"/>
    <w:rsid w:val="00D0506E"/>
    <w:rsid w:val="00D060CE"/>
    <w:rsid w:val="00D066D9"/>
    <w:rsid w:val="00D076EF"/>
    <w:rsid w:val="00D07778"/>
    <w:rsid w:val="00D108C5"/>
    <w:rsid w:val="00D10D7A"/>
    <w:rsid w:val="00D1187F"/>
    <w:rsid w:val="00D11C2D"/>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398"/>
    <w:rsid w:val="00D624E5"/>
    <w:rsid w:val="00D634A8"/>
    <w:rsid w:val="00D64C3D"/>
    <w:rsid w:val="00D65A1C"/>
    <w:rsid w:val="00D67099"/>
    <w:rsid w:val="00D71939"/>
    <w:rsid w:val="00D72523"/>
    <w:rsid w:val="00D72D27"/>
    <w:rsid w:val="00D73317"/>
    <w:rsid w:val="00D743C8"/>
    <w:rsid w:val="00D743DA"/>
    <w:rsid w:val="00D744B5"/>
    <w:rsid w:val="00D745B1"/>
    <w:rsid w:val="00D74C5F"/>
    <w:rsid w:val="00D753F3"/>
    <w:rsid w:val="00D772DC"/>
    <w:rsid w:val="00D879AF"/>
    <w:rsid w:val="00D87D61"/>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3F37"/>
    <w:rsid w:val="00DB43B8"/>
    <w:rsid w:val="00DB7BD1"/>
    <w:rsid w:val="00DB7C8A"/>
    <w:rsid w:val="00DC2DC5"/>
    <w:rsid w:val="00DC341B"/>
    <w:rsid w:val="00DC62E7"/>
    <w:rsid w:val="00DD0E87"/>
    <w:rsid w:val="00DD2BCD"/>
    <w:rsid w:val="00DD35E7"/>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DF5B6A"/>
    <w:rsid w:val="00E00E6E"/>
    <w:rsid w:val="00E0168F"/>
    <w:rsid w:val="00E12071"/>
    <w:rsid w:val="00E12660"/>
    <w:rsid w:val="00E12838"/>
    <w:rsid w:val="00E15BBF"/>
    <w:rsid w:val="00E15ECD"/>
    <w:rsid w:val="00E230D8"/>
    <w:rsid w:val="00E239E2"/>
    <w:rsid w:val="00E23F00"/>
    <w:rsid w:val="00E2599A"/>
    <w:rsid w:val="00E26A0F"/>
    <w:rsid w:val="00E305A0"/>
    <w:rsid w:val="00E318D4"/>
    <w:rsid w:val="00E339EE"/>
    <w:rsid w:val="00E3557A"/>
    <w:rsid w:val="00E4014C"/>
    <w:rsid w:val="00E401FC"/>
    <w:rsid w:val="00E42D1B"/>
    <w:rsid w:val="00E4558E"/>
    <w:rsid w:val="00E46C0B"/>
    <w:rsid w:val="00E46FAB"/>
    <w:rsid w:val="00E474DC"/>
    <w:rsid w:val="00E5155C"/>
    <w:rsid w:val="00E52FF2"/>
    <w:rsid w:val="00E5385B"/>
    <w:rsid w:val="00E554F6"/>
    <w:rsid w:val="00E55EA9"/>
    <w:rsid w:val="00E56307"/>
    <w:rsid w:val="00E56D55"/>
    <w:rsid w:val="00E56F52"/>
    <w:rsid w:val="00E57D47"/>
    <w:rsid w:val="00E57F76"/>
    <w:rsid w:val="00E6043C"/>
    <w:rsid w:val="00E60696"/>
    <w:rsid w:val="00E607BC"/>
    <w:rsid w:val="00E6152A"/>
    <w:rsid w:val="00E619D6"/>
    <w:rsid w:val="00E62028"/>
    <w:rsid w:val="00E6393C"/>
    <w:rsid w:val="00E67E51"/>
    <w:rsid w:val="00E76BE0"/>
    <w:rsid w:val="00E7790B"/>
    <w:rsid w:val="00E77E1F"/>
    <w:rsid w:val="00E81714"/>
    <w:rsid w:val="00E91546"/>
    <w:rsid w:val="00E91678"/>
    <w:rsid w:val="00E9206E"/>
    <w:rsid w:val="00E93438"/>
    <w:rsid w:val="00E93F64"/>
    <w:rsid w:val="00E94443"/>
    <w:rsid w:val="00E96092"/>
    <w:rsid w:val="00E96737"/>
    <w:rsid w:val="00E96B5C"/>
    <w:rsid w:val="00E97A1D"/>
    <w:rsid w:val="00EA0668"/>
    <w:rsid w:val="00EA127F"/>
    <w:rsid w:val="00EA1F53"/>
    <w:rsid w:val="00EA2B1D"/>
    <w:rsid w:val="00EA2C41"/>
    <w:rsid w:val="00EA4376"/>
    <w:rsid w:val="00EA5A34"/>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754D"/>
    <w:rsid w:val="00F027E9"/>
    <w:rsid w:val="00F0775E"/>
    <w:rsid w:val="00F15BF4"/>
    <w:rsid w:val="00F15F69"/>
    <w:rsid w:val="00F1612D"/>
    <w:rsid w:val="00F173DD"/>
    <w:rsid w:val="00F21119"/>
    <w:rsid w:val="00F25164"/>
    <w:rsid w:val="00F277D3"/>
    <w:rsid w:val="00F30997"/>
    <w:rsid w:val="00F32896"/>
    <w:rsid w:val="00F33C08"/>
    <w:rsid w:val="00F35ADB"/>
    <w:rsid w:val="00F41AE7"/>
    <w:rsid w:val="00F41F44"/>
    <w:rsid w:val="00F42D17"/>
    <w:rsid w:val="00F44B00"/>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17A"/>
    <w:rsid w:val="00F9541D"/>
    <w:rsid w:val="00FA0403"/>
    <w:rsid w:val="00FA0CE6"/>
    <w:rsid w:val="00FA35FB"/>
    <w:rsid w:val="00FA5742"/>
    <w:rsid w:val="00FA597D"/>
    <w:rsid w:val="00FA5B9A"/>
    <w:rsid w:val="00FA6A7D"/>
    <w:rsid w:val="00FB01B9"/>
    <w:rsid w:val="00FB763A"/>
    <w:rsid w:val="00FB79C0"/>
    <w:rsid w:val="00FC2EB8"/>
    <w:rsid w:val="00FC5C43"/>
    <w:rsid w:val="00FD1598"/>
    <w:rsid w:val="00FD576E"/>
    <w:rsid w:val="00FD596B"/>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515265649">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scopus.com/authid/detail.uri?authorId=6603317449" TargetMode="External"/><Relationship Id="rId26" Type="http://schemas.openxmlformats.org/officeDocument/2006/relationships/hyperlink" Target="https://scholar.google.com/citations?user=1C8gb8IAAAAJ&amp;hl=en" TargetMode="External"/><Relationship Id="rId39" Type="http://schemas.openxmlformats.org/officeDocument/2006/relationships/footer" Target="footer3.xml"/><Relationship Id="rId21" Type="http://schemas.openxmlformats.org/officeDocument/2006/relationships/hyperlink" Target="https://publons.com/researcher/1354246/mekhilef-saad/" TargetMode="External"/><Relationship Id="rId34"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cholar.google.co.id/citations?user=0kKMcLYAAAAJ&amp;hl=en" TargetMode="External"/><Relationship Id="rId20" Type="http://schemas.openxmlformats.org/officeDocument/2006/relationships/image" Target="media/image9.svg"/><Relationship Id="rId29" Type="http://schemas.openxmlformats.org/officeDocument/2006/relationships/image" Target="media/image1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hdphoto" Target="media/hdphoto1.wdp"/><Relationship Id="rId32" Type="http://schemas.openxmlformats.org/officeDocument/2006/relationships/hyperlink" Target="https://www.scopus.com/authid/detail.uri?authorId=7006491873"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s://publons.com/researcher/1331983/oscar-castillo/"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scholar.google.com/citations?user=Ts6JtfMAAAAJ&amp;hl=e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rcid.org/0000-0001-8544-8995" TargetMode="External"/><Relationship Id="rId22" Type="http://schemas.openxmlformats.org/officeDocument/2006/relationships/image" Target="media/image10.png"/><Relationship Id="rId27" Type="http://schemas.openxmlformats.org/officeDocument/2006/relationships/hyperlink" Target="https://www.scopus.com/authid/detail.uri?authorId=7007101709" TargetMode="External"/><Relationship Id="rId30" Type="http://schemas.openxmlformats.org/officeDocument/2006/relationships/hyperlink" Target="https://orcid.org/0000-0001-5798-1426" TargetMode="External"/><Relationship Id="rId35" Type="http://schemas.openxmlformats.org/officeDocument/2006/relationships/header" Target="header2.xml"/><Relationship Id="rId8" Type="http://schemas.openxmlformats.org/officeDocument/2006/relationships/hyperlink" Target="https://creativecommons.org/licenses/by-sa/4.0/"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orcid.org/0000-0002-7385-5689" TargetMode="External"/><Relationship Id="rId33" Type="http://schemas.openxmlformats.org/officeDocument/2006/relationships/hyperlink" Target="https://publons.com/researcher/1332081/patricia-melin/" TargetMode="External"/><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FC35A-E8CC-481F-8EEE-33EE1EDFC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2328</TotalTime>
  <Pages>7</Pages>
  <Words>8819</Words>
  <Characters>50274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TELKOMNIKA Telecommunication Computing Electronics and Control</vt:lpstr>
    </vt:vector>
  </TitlesOfParts>
  <Company>UAD | Universitas Ahmad Dahlan</Company>
  <LinksUpToDate>false</LinksUpToDate>
  <CharactersWithSpaces>58976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TELKOMNIKA Telecommunication Computing Electronics and Control</dc:title>
  <dc:creator>TELKOMNIKA</dc:creator>
  <cp:keywords>communication engineering; computer network &amp; system engineering; computer science &amp; information system; computing; electrical &amp; electronics; electrical power engineering; instrumentation &amp; control engineering; instrumentation &amp; control; internet of things (IoT); machine learning, AI &amp; soft computing; power electronics &amp; drives;</cp:keywords>
  <dc:description>TELKOMNIKA Template and Guide of Authors</dc:description>
  <cp:lastModifiedBy>LabTIAClient-22</cp:lastModifiedBy>
  <cp:revision>10</cp:revision>
  <cp:lastPrinted>2021-08-05T08:35:00Z</cp:lastPrinted>
  <dcterms:created xsi:type="dcterms:W3CDTF">2024-07-22T08:44:00Z</dcterms:created>
  <dcterms:modified xsi:type="dcterms:W3CDTF">2024-08-21T09:14:00Z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be587e77-9be3-32ac-868d-27469328be4f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