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550A1" w14:textId="3BEF9F7A" w:rsidR="00904D6D" w:rsidRPr="0060379D" w:rsidRDefault="00354A58" w:rsidP="00956EB6">
      <w:pPr>
        <w:pStyle w:val="Title"/>
        <w:rPr>
          <w:sz w:val="32"/>
          <w:szCs w:val="32"/>
        </w:rPr>
      </w:pPr>
      <w:bookmarkStart w:id="0" w:name="_Hlk78354194"/>
      <w:bookmarkStart w:id="1" w:name="_GoBack"/>
      <w:bookmarkEnd w:id="1"/>
      <w:r w:rsidRPr="0060379D">
        <w:rPr>
          <w:sz w:val="32"/>
          <w:szCs w:val="32"/>
          <w:lang w:val="en-ID"/>
        </w:rPr>
        <w:t>Paper’s</w:t>
      </w:r>
      <w:r w:rsidRPr="0060379D">
        <w:rPr>
          <w:sz w:val="32"/>
          <w:szCs w:val="32"/>
        </w:rPr>
        <w:t xml:space="preserve"> </w:t>
      </w:r>
      <w:r w:rsidRPr="0060379D">
        <w:rPr>
          <w:sz w:val="32"/>
          <w:szCs w:val="32"/>
          <w:lang w:val="en-US"/>
        </w:rPr>
        <w:t>title</w:t>
      </w:r>
      <w:bookmarkEnd w:id="0"/>
      <w:r w:rsidRPr="0060379D">
        <w:rPr>
          <w:sz w:val="32"/>
          <w:szCs w:val="32"/>
          <w:lang w:val="en-US"/>
        </w:rPr>
        <w:t xml:space="preserve"> </w:t>
      </w:r>
      <w:r w:rsidR="005160A8" w:rsidRPr="0060379D">
        <w:rPr>
          <w:sz w:val="32"/>
          <w:szCs w:val="32"/>
        </w:rPr>
        <w:t xml:space="preserve">should be </w:t>
      </w:r>
      <w:r w:rsidR="005160A8" w:rsidRPr="0060379D">
        <w:rPr>
          <w:sz w:val="32"/>
          <w:szCs w:val="32"/>
          <w:lang w:val="en-US"/>
        </w:rPr>
        <w:t>t</w:t>
      </w:r>
      <w:r w:rsidR="005160A8" w:rsidRPr="0060379D">
        <w:rPr>
          <w:sz w:val="32"/>
          <w:szCs w:val="32"/>
        </w:rPr>
        <w:t xml:space="preserve">he fewest possible words that </w:t>
      </w:r>
      <w:r w:rsidR="005160A8" w:rsidRPr="0060379D">
        <w:rPr>
          <w:iCs/>
          <w:sz w:val="32"/>
          <w:szCs w:val="32"/>
        </w:rPr>
        <w:t xml:space="preserve">accurately describe </w:t>
      </w:r>
      <w:r w:rsidR="005160A8" w:rsidRPr="0060379D">
        <w:rPr>
          <w:iCs/>
          <w:sz w:val="32"/>
          <w:szCs w:val="32"/>
          <w:lang w:val="en-US"/>
        </w:rPr>
        <w:t>t</w:t>
      </w:r>
      <w:r w:rsidR="005160A8" w:rsidRPr="0060379D">
        <w:rPr>
          <w:iCs/>
          <w:sz w:val="32"/>
          <w:szCs w:val="32"/>
        </w:rPr>
        <w:t xml:space="preserve">he content </w:t>
      </w:r>
      <w:r w:rsidR="005160A8" w:rsidRPr="0060379D">
        <w:rPr>
          <w:iCs/>
          <w:sz w:val="32"/>
          <w:szCs w:val="32"/>
          <w:lang w:val="en-US"/>
        </w:rPr>
        <w:t>o</w:t>
      </w:r>
      <w:r w:rsidR="005160A8" w:rsidRPr="0060379D">
        <w:rPr>
          <w:iCs/>
          <w:sz w:val="32"/>
          <w:szCs w:val="32"/>
        </w:rPr>
        <w:t xml:space="preserve">f </w:t>
      </w:r>
      <w:r w:rsidR="005160A8" w:rsidRPr="0060379D">
        <w:rPr>
          <w:iCs/>
          <w:sz w:val="32"/>
          <w:szCs w:val="32"/>
          <w:lang w:val="en-US"/>
        </w:rPr>
        <w:t>t</w:t>
      </w:r>
      <w:r w:rsidR="005160A8" w:rsidRPr="0060379D">
        <w:rPr>
          <w:iCs/>
          <w:sz w:val="32"/>
          <w:szCs w:val="32"/>
        </w:rPr>
        <w:t>he paper</w:t>
      </w:r>
      <w:r w:rsidR="005160A8" w:rsidRPr="0060379D">
        <w:rPr>
          <w:iCs/>
          <w:sz w:val="32"/>
          <w:szCs w:val="32"/>
          <w:lang w:val="en-US"/>
        </w:rPr>
        <w:t xml:space="preserve"> </w:t>
      </w:r>
      <w:r w:rsidR="00904D6D" w:rsidRPr="0060379D">
        <w:rPr>
          <w:sz w:val="32"/>
          <w:szCs w:val="32"/>
        </w:rPr>
        <w:t>(Center, Bold, 16</w:t>
      </w:r>
      <w:r w:rsidR="00F33C08" w:rsidRPr="0060379D">
        <w:rPr>
          <w:sz w:val="32"/>
          <w:szCs w:val="32"/>
          <w:lang w:val="en-US"/>
        </w:rPr>
        <w:t>pt</w:t>
      </w:r>
      <w:r w:rsidR="00904D6D" w:rsidRPr="0060379D">
        <w:rPr>
          <w:sz w:val="32"/>
          <w:szCs w:val="32"/>
        </w:rPr>
        <w: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7A9F44CF" w14:textId="39169CC1" w:rsidR="00062EE6" w:rsidRPr="00D74C5F" w:rsidRDefault="0093175D" w:rsidP="00062EE6">
      <w:pPr>
        <w:jc w:val="center"/>
        <w:rPr>
          <w:b/>
          <w:bCs/>
        </w:rPr>
      </w:pPr>
      <w:r w:rsidRPr="0093175D">
        <w:rPr>
          <w:b/>
          <w:bCs/>
        </w:rPr>
        <w:t>Saad Mekhilef</w:t>
      </w:r>
      <w:r w:rsidR="00A67CD8">
        <w:rPr>
          <w:b/>
          <w:bCs/>
          <w:vertAlign w:val="superscript"/>
        </w:rPr>
        <w:t>1</w:t>
      </w:r>
      <w:r>
        <w:rPr>
          <w:b/>
          <w:bCs/>
          <w:vertAlign w:val="superscript"/>
        </w:rPr>
        <w:t>,2</w:t>
      </w:r>
      <w:r w:rsidR="00A67CD8">
        <w:rPr>
          <w:b/>
          <w:bCs/>
        </w:rPr>
        <w:t xml:space="preserve">, </w:t>
      </w:r>
      <w:r w:rsidR="00EA2B1D" w:rsidRPr="00EA2B1D">
        <w:rPr>
          <w:b/>
          <w:bCs/>
          <w:lang w:val="id-ID"/>
        </w:rPr>
        <w:t>Oscar Castillo</w:t>
      </w:r>
      <w:r>
        <w:rPr>
          <w:b/>
          <w:bCs/>
          <w:vertAlign w:val="superscript"/>
        </w:rPr>
        <w:t>3</w:t>
      </w:r>
      <w:r w:rsidR="00062EE6" w:rsidRPr="003D5B84">
        <w:rPr>
          <w:b/>
          <w:bCs/>
          <w:lang w:val="id-ID"/>
        </w:rPr>
        <w:t xml:space="preserve">, </w:t>
      </w:r>
      <w:r w:rsidR="00EA2B1D" w:rsidRPr="00EA2B1D">
        <w:rPr>
          <w:b/>
          <w:bCs/>
          <w:lang w:val="id-ID"/>
        </w:rPr>
        <w:t>Patricia Melin</w:t>
      </w:r>
      <w:r>
        <w:rPr>
          <w:b/>
          <w:bCs/>
          <w:vertAlign w:val="superscript"/>
        </w:rPr>
        <w:t>3</w:t>
      </w:r>
      <w:r w:rsidR="00D62398">
        <w:rPr>
          <w:b/>
          <w:bCs/>
        </w:rPr>
        <w:t xml:space="preserve"> </w:t>
      </w:r>
      <w:r w:rsidR="00062EE6">
        <w:rPr>
          <w:b/>
          <w:bCs/>
        </w:rPr>
        <w:t>(10 pt)</w:t>
      </w:r>
    </w:p>
    <w:p w14:paraId="63802DA9" w14:textId="136B5072" w:rsidR="0093175D" w:rsidRDefault="00A67CD8" w:rsidP="00B9642F">
      <w:pPr>
        <w:jc w:val="center"/>
        <w:rPr>
          <w:sz w:val="16"/>
          <w:szCs w:val="16"/>
        </w:rPr>
      </w:pPr>
      <w:r>
        <w:rPr>
          <w:sz w:val="16"/>
          <w:szCs w:val="16"/>
          <w:vertAlign w:val="superscript"/>
        </w:rPr>
        <w:t>1</w:t>
      </w:r>
      <w:r w:rsidR="0093175D" w:rsidRPr="0093175D">
        <w:rPr>
          <w:sz w:val="16"/>
          <w:szCs w:val="16"/>
        </w:rPr>
        <w:t xml:space="preserve">Power Electronics and Renewable Energy Research Laboratory </w:t>
      </w:r>
      <w:r w:rsidR="0093175D">
        <w:rPr>
          <w:sz w:val="16"/>
          <w:szCs w:val="16"/>
        </w:rPr>
        <w:t>(</w:t>
      </w:r>
      <w:r w:rsidR="0093175D" w:rsidRPr="0093175D">
        <w:rPr>
          <w:sz w:val="16"/>
          <w:szCs w:val="16"/>
        </w:rPr>
        <w:t>PEAR-L</w:t>
      </w:r>
      <w:r w:rsidR="0093175D">
        <w:rPr>
          <w:sz w:val="16"/>
          <w:szCs w:val="16"/>
        </w:rPr>
        <w:t>)</w:t>
      </w:r>
      <w:r w:rsidR="0093175D" w:rsidRPr="0093175D">
        <w:rPr>
          <w:sz w:val="16"/>
          <w:szCs w:val="16"/>
        </w:rPr>
        <w:t xml:space="preserve">, University of Malaya, </w:t>
      </w:r>
      <w:r w:rsidR="0093175D">
        <w:rPr>
          <w:sz w:val="16"/>
          <w:szCs w:val="16"/>
        </w:rPr>
        <w:t xml:space="preserve">Kuala Lumpur, </w:t>
      </w:r>
      <w:r w:rsidR="0093175D" w:rsidRPr="0093175D">
        <w:rPr>
          <w:sz w:val="16"/>
          <w:szCs w:val="16"/>
        </w:rPr>
        <w:t>Malaysia</w:t>
      </w:r>
      <w:r w:rsidR="0093175D">
        <w:rPr>
          <w:sz w:val="16"/>
          <w:szCs w:val="16"/>
        </w:rPr>
        <w:t xml:space="preserve"> </w:t>
      </w:r>
      <w:r w:rsidR="0093175D" w:rsidRPr="00EA2B1D">
        <w:rPr>
          <w:sz w:val="16"/>
          <w:szCs w:val="16"/>
        </w:rPr>
        <w:t>(</w:t>
      </w:r>
      <w:r w:rsidR="0093175D" w:rsidRPr="00E554F6">
        <w:rPr>
          <w:sz w:val="16"/>
          <w:szCs w:val="16"/>
        </w:rPr>
        <w:t>8 pt)</w:t>
      </w:r>
    </w:p>
    <w:p w14:paraId="385F0009" w14:textId="0FB41125" w:rsidR="00B9642F" w:rsidRPr="00E554F6" w:rsidRDefault="0093175D" w:rsidP="0093175D">
      <w:pPr>
        <w:jc w:val="center"/>
        <w:rPr>
          <w:sz w:val="16"/>
          <w:szCs w:val="16"/>
        </w:rPr>
      </w:pPr>
      <w:r>
        <w:rPr>
          <w:sz w:val="16"/>
          <w:szCs w:val="16"/>
          <w:vertAlign w:val="superscript"/>
        </w:rPr>
        <w:t>2</w:t>
      </w:r>
      <w:r w:rsidRPr="0093175D">
        <w:rPr>
          <w:sz w:val="16"/>
          <w:szCs w:val="16"/>
        </w:rPr>
        <w:t>Department of Electrical Engineering</w:t>
      </w:r>
      <w:r>
        <w:rPr>
          <w:sz w:val="16"/>
          <w:szCs w:val="16"/>
        </w:rPr>
        <w:t xml:space="preserve">, </w:t>
      </w:r>
      <w:r w:rsidRPr="0093175D">
        <w:rPr>
          <w:sz w:val="16"/>
          <w:szCs w:val="16"/>
        </w:rPr>
        <w:t>Faculty of Engineering</w:t>
      </w:r>
      <w:r>
        <w:rPr>
          <w:sz w:val="16"/>
          <w:szCs w:val="16"/>
        </w:rPr>
        <w:t xml:space="preserve">, </w:t>
      </w:r>
      <w:r w:rsidRPr="0093175D">
        <w:rPr>
          <w:sz w:val="16"/>
          <w:szCs w:val="16"/>
        </w:rPr>
        <w:t xml:space="preserve">University </w:t>
      </w:r>
      <w:r>
        <w:rPr>
          <w:sz w:val="16"/>
          <w:szCs w:val="16"/>
        </w:rPr>
        <w:t>o</w:t>
      </w:r>
      <w:r w:rsidRPr="0093175D">
        <w:rPr>
          <w:sz w:val="16"/>
          <w:szCs w:val="16"/>
        </w:rPr>
        <w:t>f Malaya</w:t>
      </w:r>
      <w:r>
        <w:rPr>
          <w:sz w:val="16"/>
          <w:szCs w:val="16"/>
        </w:rPr>
        <w:t xml:space="preserve">, Kuala Lumpur, </w:t>
      </w:r>
      <w:r w:rsidRPr="0093175D">
        <w:rPr>
          <w:sz w:val="16"/>
          <w:szCs w:val="16"/>
        </w:rPr>
        <w:t>Malaysia</w:t>
      </w:r>
      <w:r>
        <w:rPr>
          <w:sz w:val="16"/>
          <w:szCs w:val="16"/>
        </w:rPr>
        <w:br/>
      </w:r>
      <w:r>
        <w:rPr>
          <w:sz w:val="16"/>
          <w:szCs w:val="16"/>
          <w:vertAlign w:val="superscript"/>
        </w:rPr>
        <w:t>3</w:t>
      </w:r>
      <w:r w:rsidR="00EA2B1D" w:rsidRPr="00EA2B1D">
        <w:rPr>
          <w:sz w:val="16"/>
          <w:szCs w:val="16"/>
        </w:rPr>
        <w:t>Division of Graduate Studies, Tijuana Institute of Technology, Tijuana, Mexico</w:t>
      </w:r>
    </w:p>
    <w:p w14:paraId="557DF927" w14:textId="4D489A7A" w:rsidR="00904D6D"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48BDA2EA" w:rsidR="00941203" w:rsidRDefault="00941203" w:rsidP="00957C11">
            <w:pPr>
              <w:jc w:val="both"/>
            </w:pPr>
            <w:r w:rsidRPr="00957C11">
              <w:t>Received</w:t>
            </w:r>
            <w:r>
              <w:t xml:space="preserve"> </w:t>
            </w:r>
            <w:r w:rsidR="00E554F6" w:rsidRPr="00E554F6">
              <w:t>month</w:t>
            </w:r>
            <w:r w:rsidR="00523156" w:rsidRPr="00523156">
              <w:t xml:space="preserve"> dd, yyyy</w:t>
            </w:r>
          </w:p>
          <w:p w14:paraId="745B47E5" w14:textId="5709D155" w:rsidR="00941203" w:rsidRDefault="00941203" w:rsidP="00957C11">
            <w:pPr>
              <w:jc w:val="both"/>
            </w:pPr>
            <w:r>
              <w:t xml:space="preserve">Revised </w:t>
            </w:r>
            <w:r w:rsidR="00E554F6" w:rsidRPr="00E554F6">
              <w:t>month</w:t>
            </w:r>
            <w:r w:rsidR="00523156" w:rsidRPr="00523156">
              <w:t xml:space="preserve"> dd, yyyy</w:t>
            </w:r>
          </w:p>
          <w:p w14:paraId="6CE20EAE" w14:textId="442A41FB" w:rsidR="00941203" w:rsidRDefault="00941203" w:rsidP="00957C11">
            <w:pPr>
              <w:jc w:val="both"/>
            </w:pPr>
            <w:r>
              <w:t xml:space="preserve">Accepted </w:t>
            </w:r>
            <w:r w:rsidR="00E554F6" w:rsidRPr="00E554F6">
              <w:t>month</w:t>
            </w:r>
            <w:r w:rsidR="00523156" w:rsidRPr="00523156">
              <w:t xml:space="preserve"> dd, yyyy</w:t>
            </w:r>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2C910DFA" w:rsidR="00941203" w:rsidRPr="00957C11" w:rsidRDefault="005C4941"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77777777" w:rsidR="00941203" w:rsidRDefault="00941203" w:rsidP="00941203">
            <w:pPr>
              <w:jc w:val="both"/>
            </w:pPr>
            <w:r>
              <w:t>First keyword</w:t>
            </w:r>
          </w:p>
          <w:p w14:paraId="0EF152BF" w14:textId="77777777" w:rsidR="00941203" w:rsidRDefault="00941203" w:rsidP="00941203">
            <w:pPr>
              <w:jc w:val="both"/>
            </w:pPr>
            <w:r>
              <w:t>Second keyword</w:t>
            </w:r>
          </w:p>
          <w:p w14:paraId="5B0032F7" w14:textId="77777777" w:rsidR="00941203" w:rsidRDefault="00941203" w:rsidP="00941203">
            <w:pPr>
              <w:jc w:val="both"/>
            </w:pPr>
            <w:r>
              <w:t>Third keyword</w:t>
            </w:r>
          </w:p>
          <w:p w14:paraId="31B015CF" w14:textId="77777777" w:rsidR="00941203" w:rsidRDefault="00941203" w:rsidP="00941203">
            <w:pPr>
              <w:jc w:val="both"/>
            </w:pPr>
            <w:r>
              <w:t>Fourth keyword</w:t>
            </w:r>
          </w:p>
          <w:p w14:paraId="4B416523" w14:textId="77777777" w:rsidR="00941203" w:rsidRPr="007F286F" w:rsidRDefault="00941203" w:rsidP="00941203">
            <w:pPr>
              <w:jc w:val="both"/>
              <w:rPr>
                <w:b/>
                <w:i/>
              </w:rPr>
            </w:pPr>
            <w:r>
              <w:t>Fifth keyword</w:t>
            </w: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3C411EDF" w14:textId="79A382A6" w:rsidR="00941203" w:rsidRPr="00B9642F" w:rsidRDefault="0093175D" w:rsidP="00E6043C">
            <w:pPr>
              <w:spacing w:after="120"/>
            </w:pPr>
            <w:r w:rsidRPr="0093175D">
              <w:t>Saad Mekhilef</w:t>
            </w:r>
            <w:r w:rsidR="00B9642F">
              <w:br/>
            </w:r>
            <w:r w:rsidRPr="0093175D">
              <w:t xml:space="preserve">Power Electronics and Renewable Energy Research Laboratory </w:t>
            </w:r>
            <w:r>
              <w:t>(</w:t>
            </w:r>
            <w:r w:rsidRPr="0093175D">
              <w:t>PEAR-L</w:t>
            </w:r>
            <w:r>
              <w:t>)</w:t>
            </w:r>
            <w:r w:rsidRPr="0093175D">
              <w:t>, University of Malaya</w:t>
            </w:r>
            <w:r>
              <w:br/>
            </w:r>
            <w:r w:rsidR="00E6043C" w:rsidRPr="00E6043C">
              <w:t xml:space="preserve">Balai Cerap UTM, Lengkok Suria, 81310 Skudai, Johor, Malaysia </w:t>
            </w:r>
            <w:r w:rsidR="00E6043C">
              <w:br/>
            </w:r>
            <w:r w:rsidR="00062EE6">
              <w:t xml:space="preserve">Email: </w:t>
            </w:r>
            <w:r w:rsidRPr="0093175D">
              <w:t>saad@um.edu.my</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2247CDE2" w14:textId="3CA17CFE" w:rsidR="00E619D6" w:rsidRPr="00E554F6" w:rsidRDefault="005C4941" w:rsidP="00E619D6">
      <w:pPr>
        <w:ind w:firstLine="720"/>
        <w:jc w:val="both"/>
      </w:pPr>
      <w:r w:rsidRPr="005C4941">
        <w:rPr>
          <w:lang w:val="id-ID"/>
        </w:rPr>
        <w:t>The main text format consists of a flat left-right columns on A4 paper (quarto). The margin text from the left and top are 2.5 cm, right and bottom are 2 cm. The manuscript is written in Microsoft Word, single space, Time New Roman 10 pt, and maximum 12 pages for original research article, or maximum 16 pages for review/survey paper, which can be downloaded at the website:</w:t>
      </w:r>
      <w:r w:rsidR="00E554F6">
        <w:t xml:space="preserve"> </w:t>
      </w:r>
      <w:r w:rsidR="00A93117" w:rsidRPr="00A93117">
        <w:rPr>
          <w:iCs/>
          <w:lang w:val="id-ID"/>
        </w:rPr>
        <w:t>http://journal.uad.ac.id/</w:t>
      </w:r>
      <w:r w:rsidR="00E554F6">
        <w:rPr>
          <w:iCs/>
          <w:lang w:val="id-ID"/>
        </w:rPr>
        <w:br/>
      </w:r>
      <w:r w:rsidR="00A93117" w:rsidRPr="00A93117">
        <w:rPr>
          <w:iCs/>
          <w:lang w:val="id-ID"/>
        </w:rPr>
        <w:t>index.php/TELKOMNIKA</w:t>
      </w:r>
      <w:r w:rsidR="00E554F6">
        <w:rPr>
          <w:iCs/>
        </w:rPr>
        <w:t>.</w:t>
      </w:r>
    </w:p>
    <w:p w14:paraId="3EE34F7A" w14:textId="77777777" w:rsidR="005C4941" w:rsidRDefault="005C4941" w:rsidP="005C4941">
      <w:pPr>
        <w:ind w:firstLine="720"/>
        <w:jc w:val="both"/>
        <w:rPr>
          <w:lang w:val="id-ID"/>
        </w:rPr>
      </w:pPr>
      <w:bookmarkStart w:id="2" w:name="_Hlk80000657"/>
      <w:bookmarkStart w:id="3" w:name="_Hlk78354294"/>
      <w:r w:rsidRPr="003D6B19">
        <w:rPr>
          <w:lang w:val="id-ID"/>
        </w:rPr>
        <w:t>A title</w:t>
      </w:r>
      <w:r w:rsidRPr="003D6B19">
        <w:t xml:space="preserve"> of article</w:t>
      </w:r>
      <w:r w:rsidRPr="003D6B19">
        <w:rPr>
          <w:lang w:val="id-ID"/>
        </w:rPr>
        <w:t xml:space="preserve"> should be the fewest possible words that accurately describe the content of the paper. </w:t>
      </w:r>
      <w:r>
        <w:t>The</w:t>
      </w:r>
      <w:r w:rsidRPr="00201F3F">
        <w:rPr>
          <w:lang w:val="id-ID"/>
        </w:rPr>
        <w:t xml:space="preserve"> title should be succinct and informative </w:t>
      </w:r>
      <w:r w:rsidRPr="00201F3F">
        <w:rPr>
          <w:lang w:val="id-ID"/>
        </w:rPr>
        <w:lastRenderedPageBreak/>
        <w:t xml:space="preserve">and no more than about 12 words in length. Do not use acronyms or abbreviations in your title and do not mention the method you used, unless your paper reports on the development of a new method. Titles are often used in information-retrieval systems. </w:t>
      </w:r>
      <w:r w:rsidRPr="00213B7B">
        <w:rPr>
          <w:lang w:val="id-ID"/>
        </w:rPr>
        <w:t>Avoid  writing  long  formulas  with  subscripts  in  the  title</w:t>
      </w:r>
      <w:r>
        <w:t xml:space="preserve">. </w:t>
      </w:r>
      <w:r w:rsidRPr="003D6B19">
        <w:rPr>
          <w:lang w:val="id-ID"/>
        </w:rPr>
        <w:t>Omit all waste words such as "</w:t>
      </w:r>
      <w:r w:rsidRPr="003D6B19">
        <w:rPr>
          <w:i/>
          <w:lang w:val="id-ID"/>
        </w:rPr>
        <w:t>A study of ...</w:t>
      </w:r>
      <w:r w:rsidRPr="003D6B19">
        <w:rPr>
          <w:lang w:val="id-ID"/>
        </w:rPr>
        <w:t>", "</w:t>
      </w:r>
      <w:r w:rsidRPr="003D6B19">
        <w:rPr>
          <w:i/>
          <w:lang w:val="id-ID"/>
        </w:rPr>
        <w:t>Investigations of ...</w:t>
      </w:r>
      <w:r w:rsidRPr="003D6B19">
        <w:rPr>
          <w:lang w:val="id-ID"/>
        </w:rPr>
        <w:t>", "</w:t>
      </w:r>
      <w:r w:rsidRPr="003D6B19">
        <w:rPr>
          <w:i/>
          <w:lang w:val="id-ID"/>
        </w:rPr>
        <w:t>Implementation of ...</w:t>
      </w:r>
      <w:r w:rsidRPr="003D6B19">
        <w:t>”</w:t>
      </w:r>
      <w:r w:rsidRPr="003D6B19">
        <w:rPr>
          <w:lang w:val="id-ID"/>
        </w:rPr>
        <w:t>, "</w:t>
      </w:r>
      <w:r w:rsidRPr="003D6B19">
        <w:rPr>
          <w:i/>
          <w:lang w:val="id-ID"/>
        </w:rPr>
        <w:t>Observations on ...</w:t>
      </w:r>
      <w:r w:rsidRPr="003D6B19">
        <w:rPr>
          <w:lang w:val="id-ID"/>
        </w:rPr>
        <w:t>", "</w:t>
      </w:r>
      <w:r w:rsidRPr="003D6B19">
        <w:rPr>
          <w:i/>
          <w:lang w:val="id-ID"/>
        </w:rPr>
        <w:t>Effect of.....</w:t>
      </w:r>
      <w:r w:rsidRPr="003D6B19">
        <w:rPr>
          <w:lang w:val="id-ID"/>
        </w:rPr>
        <w:t>",</w:t>
      </w:r>
      <w:r w:rsidRPr="003D6B19">
        <w:t xml:space="preserve"> “</w:t>
      </w:r>
      <w:r w:rsidRPr="003D6B19">
        <w:rPr>
          <w:i/>
        </w:rPr>
        <w:t>Analysis of …</w:t>
      </w:r>
      <w:r w:rsidRPr="003D6B19">
        <w:t>”, “Design of…”</w:t>
      </w:r>
      <w:r>
        <w:t>,</w:t>
      </w:r>
      <w:r w:rsidRPr="003D6B19">
        <w:rPr>
          <w:lang w:val="id-ID"/>
        </w:rPr>
        <w:t xml:space="preserve"> etc. </w:t>
      </w:r>
    </w:p>
    <w:p w14:paraId="316CC38D" w14:textId="77777777" w:rsidR="005C4941" w:rsidRPr="007315A7" w:rsidRDefault="005C4941" w:rsidP="005C4941">
      <w:pPr>
        <w:ind w:firstLine="720"/>
        <w:jc w:val="both"/>
      </w:pPr>
      <w:r w:rsidRPr="00272BB5">
        <w:rPr>
          <w:lang w:val="id-ID"/>
        </w:rPr>
        <w:t>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Immediately after the abstract, provide a maximum of 7 keywords, using American spelling and avoiding general and plural terms and multiple concepts (avoid, for example, 'and', 'of'). Be sparing with abbreviations: only abbreviations firmly established in the field may be eligible. These keywords will be used for indexing purposes.</w:t>
      </w:r>
      <w:r>
        <w:t xml:space="preserve"> </w:t>
      </w:r>
      <w:r w:rsidRPr="003D6B19">
        <w:rPr>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3496D5F5" w14:textId="6897D207" w:rsidR="005C4941" w:rsidRPr="003D6B19" w:rsidRDefault="005C4941" w:rsidP="005C4941">
      <w:pPr>
        <w:ind w:firstLine="720"/>
        <w:jc w:val="both"/>
      </w:pPr>
      <w:r w:rsidRPr="003D6B19">
        <w:rPr>
          <w:lang w:val="id-ID"/>
        </w:rPr>
        <w:t xml:space="preserve">The Introduction </w:t>
      </w:r>
      <w:r w:rsidRPr="003D6B19">
        <w:rPr>
          <w:lang w:val="en-ID"/>
        </w:rPr>
        <w:t xml:space="preserve">section </w:t>
      </w:r>
      <w:r w:rsidRPr="003D6B19">
        <w:rPr>
          <w:lang w:val="id-ID"/>
        </w:rPr>
        <w:t>should provide</w:t>
      </w:r>
      <w:r w:rsidRPr="003D6B19">
        <w:rPr>
          <w:lang w:val="en-ID"/>
        </w:rPr>
        <w:t>: i)</w:t>
      </w:r>
      <w:r w:rsidRPr="003D6B19">
        <w:rPr>
          <w:lang w:val="id-ID"/>
        </w:rPr>
        <w:t xml:space="preserve"> a clear background, </w:t>
      </w:r>
      <w:r w:rsidRPr="003D6B19">
        <w:rPr>
          <w:lang w:val="en-ID"/>
        </w:rPr>
        <w:t xml:space="preserve">ii) </w:t>
      </w:r>
      <w:r w:rsidRPr="003D6B19">
        <w:rPr>
          <w:lang w:val="id-ID"/>
        </w:rPr>
        <w:t xml:space="preserve">a clear statement of the problem, </w:t>
      </w:r>
      <w:r w:rsidRPr="003D6B19">
        <w:rPr>
          <w:lang w:val="en-ID"/>
        </w:rPr>
        <w:t xml:space="preserve">iii) </w:t>
      </w:r>
      <w:r w:rsidRPr="003D6B19">
        <w:rPr>
          <w:lang w:val="id-ID"/>
        </w:rPr>
        <w:t xml:space="preserve">the relevant literature on the subject, </w:t>
      </w:r>
      <w:r w:rsidRPr="003D6B19">
        <w:rPr>
          <w:lang w:val="en-ID"/>
        </w:rPr>
        <w:t xml:space="preserve">iv) </w:t>
      </w:r>
      <w:r w:rsidRPr="003D6B19">
        <w:rPr>
          <w:lang w:val="id-ID"/>
        </w:rPr>
        <w:t xml:space="preserve">the proposed approach or solution, and </w:t>
      </w:r>
      <w:r w:rsidRPr="003D6B19">
        <w:rPr>
          <w:lang w:val="en-ID"/>
        </w:rPr>
        <w:t xml:space="preserve">v) </w:t>
      </w:r>
      <w:r w:rsidRPr="003D6B19">
        <w:rPr>
          <w:lang w:val="id-ID"/>
        </w:rPr>
        <w:t>the new value of research which it is innovation</w:t>
      </w:r>
      <w:r w:rsidRPr="003D6B19">
        <w:rPr>
          <w:lang w:val="en-ID"/>
        </w:rPr>
        <w:t xml:space="preserve"> (within 3-6 paragraphs)</w:t>
      </w:r>
      <w:r w:rsidRPr="003D6B19">
        <w:rPr>
          <w:lang w:val="id-ID"/>
        </w:rPr>
        <w:t>. It should be understandable to colleagues from a broad range of scientific disciplines. Organization and citation of the bibliography are made in</w:t>
      </w:r>
      <w:r w:rsidRPr="003D6B19">
        <w:t xml:space="preserve"> </w:t>
      </w:r>
      <w:r w:rsidRPr="003D6B19">
        <w:rPr>
          <w:lang w:val="id-ID"/>
        </w:rPr>
        <w:t>Institute of Electrical and Electronics Engineers</w:t>
      </w:r>
      <w:r w:rsidRPr="003D6B19">
        <w:t xml:space="preserve"> (IEEE)</w:t>
      </w:r>
      <w:r w:rsidRPr="003D6B19">
        <w:rPr>
          <w:lang w:val="id-ID"/>
        </w:rPr>
        <w:t xml:space="preserve"> style in sign </w:t>
      </w:r>
      <w:r w:rsidRPr="003D6B19">
        <w:fldChar w:fldCharType="begin" w:fldLock="1"/>
      </w:r>
      <w:r w:rsidRPr="003D6B19">
        <w:rPr>
          <w:lang w:val="id-ID"/>
        </w:rPr>
        <w:instrText>ADDIN CSL_CITATION {"citationItems":[{"id":"ITEM-1","itemData":{"author":[{"dropping-particle":"","family":"Sigala","given":"Marianna","non-dropping-particle":"","parse-names":false,"suffix":""},{"dropping-particle":"","family":"Beer","given":"Andrew","non-dropping-particle":"","parse-names":false,"suffix":""},{"dropping-particle":"","family":"Hodgson","given":"Laura","non-dropping-particle":"","parse-names":false,"suffix":""},{"dropping-particle":"","family":"O’Connor","given":"Allan","non-dropping-particle":"","parse-names":false,"suffix":""}],"id":"ITEM-1","issued":{"date-parts":[["2019"]]},"number-of-pages":"57-73","title":"Big Data for Measuring the Impact of Tourism Economic Development Programmes: A Process and Quality Criteria Framework for Using Big Data","type":"book"},"uris":["http://www.mendeley.com/documents/?uuid=c45269a4-d73f-4938-a305-ba67f67d0604"]},{"id":"ITEM-2","itemData":{"DOI":"10.1007/s10462-018-09679-z","ISSN":"15737462","abstract":"The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Review","id":"ITEM-2","issue":"1","issued":{"date-parts":[["2019"]]},"page":"77-124","publisher":"Springer Netherlands","title":"Machine Learning and Deep Learning frameworks and libraries for large-scale data mining: a survey","type":"article-journal","volume":"52"},"uris":["http://www.mendeley.com/documents/?uuid=ba6f84de-1264-4176-bb33-d4bd0856084e"]}],"mendeley":{"formattedCitation":"[1], [2]","plainTextFormattedCitation":"[1], [2]","previouslyFormattedCitation":"[1], [2]"},"properties":{"noteIndex":0},"schema":"https://github.com/citation-style-language/schema/raw/master/csl-citation.json"}</w:instrText>
      </w:r>
      <w:r w:rsidRPr="003D6B19">
        <w:fldChar w:fldCharType="separate"/>
      </w:r>
      <w:r w:rsidRPr="003D6B19">
        <w:rPr>
          <w:noProof/>
          <w:lang w:val="id-ID"/>
        </w:rPr>
        <w:t>[1], [2]</w:t>
      </w:r>
      <w:r w:rsidRPr="003D6B19">
        <w:fldChar w:fldCharType="end"/>
      </w:r>
      <w:r w:rsidRPr="003D6B19">
        <w:rPr>
          <w:lang w:val="id-ID"/>
        </w:rPr>
        <w:t xml:space="preserve"> and so on. The terms in foreign languages are written italic (</w:t>
      </w:r>
      <w:r w:rsidRPr="003D6B19">
        <w:rPr>
          <w:i/>
          <w:iCs/>
          <w:lang w:val="id-ID"/>
        </w:rPr>
        <w:t>italic</w:t>
      </w:r>
      <w:r w:rsidRPr="003D6B19">
        <w:rPr>
          <w:lang w:val="id-ID"/>
        </w:rPr>
        <w:t xml:space="preserve">). </w:t>
      </w:r>
      <w:r w:rsidRPr="003D6B19">
        <w:t>The text should be divided into sections, each with a separate heading and numbered consecutively</w:t>
      </w:r>
      <w:r>
        <w:t xml:space="preserve"> </w:t>
      </w:r>
      <w:r w:rsidRPr="003D6B19">
        <w:fldChar w:fldCharType="begin" w:fldLock="1"/>
      </w:r>
      <w:r w:rsidRPr="003D6B19">
        <w:instrText>ADDIN CSL_CITATION {"citationItems":[{"id":"ITEM-1","itemData":{"DOI":"10.1186/s40537-019-0197-0","ISSN":"21961115","abstract":"Deep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data.","author":[{"dropping-particle":"","family":"Shorten","given":"Connor","non-dropping-particle":"","parse-names":false,"suffix":""},{"dropping-particle":"","family":"Khoshgoftaar","given":"Taghi M.","non-dropping-particle":"","parse-names":false,"suffix":""}],"container-title":"Journal of Big Data","id":"ITEM-1","issue":"1","issued":{"date-parts":[["2019"]]},"publisher":"Springer International Publishing","title":"A survey on Image Data Augmentation for Deep Learning","type":"article-journal","volume":"6"},"uris":["http://www.mendeley.com/documents/?uuid=3913f4d2-bbc7-4192-a4bd-9da46121ec06"]}],"mendeley":{"formattedCitation":"[3]","plainTextFormattedCitation":"[3]","previouslyFormattedCitation":"[3]"},"properties":{"noteIndex":0},"schema":"https://github.com/citation-style-language/schema/raw/master/csl-citation.json"}</w:instrText>
      </w:r>
      <w:r w:rsidRPr="003D6B19">
        <w:fldChar w:fldCharType="separate"/>
      </w:r>
      <w:r w:rsidRPr="003D6B19">
        <w:rPr>
          <w:noProof/>
        </w:rPr>
        <w:t>[3]</w:t>
      </w:r>
      <w:r w:rsidRPr="003D6B19">
        <w:fldChar w:fldCharType="end"/>
      </w:r>
      <w:r w:rsidRPr="003D6B19">
        <w:t xml:space="preserve">. The section or subsection headings should be typed on a separate line, e.g., 1. INTRODUCTION. </w:t>
      </w:r>
      <w:r w:rsidRPr="007F01C2">
        <w:t>A full article usually follows a standard structure</w:t>
      </w:r>
      <w:r w:rsidRPr="003D6B19">
        <w:rPr>
          <w:lang w:val="id-ID"/>
        </w:rPr>
        <w:t>:</w:t>
      </w:r>
      <w:r>
        <w:t xml:space="preserve"> </w:t>
      </w:r>
      <w:r w:rsidRPr="003D6B19">
        <w:rPr>
          <w:b/>
          <w:bCs/>
          <w:lang w:val="en-ID"/>
        </w:rPr>
        <w:t>1.</w:t>
      </w:r>
      <w:r w:rsidRPr="003D6B19">
        <w:rPr>
          <w:lang w:val="en-ID"/>
        </w:rPr>
        <w:t xml:space="preserve"> </w:t>
      </w:r>
      <w:r w:rsidRPr="003D6B19">
        <w:rPr>
          <w:b/>
          <w:lang w:val="id-ID"/>
        </w:rPr>
        <w:t>Introduction</w:t>
      </w:r>
      <w:r w:rsidRPr="003D6B19">
        <w:rPr>
          <w:b/>
          <w:lang w:val="en-ID"/>
        </w:rPr>
        <w:t>, 2. T</w:t>
      </w:r>
      <w:r w:rsidRPr="003D6B19">
        <w:rPr>
          <w:b/>
          <w:lang w:val="id-ID"/>
        </w:rPr>
        <w:t xml:space="preserve">he Comprehensive Theoretical Basis </w:t>
      </w:r>
      <w:r>
        <w:rPr>
          <w:b/>
        </w:rPr>
        <w:t>a</w:t>
      </w:r>
      <w:r w:rsidRPr="003D6B19">
        <w:rPr>
          <w:b/>
        </w:rPr>
        <w:t>nd/</w:t>
      </w:r>
      <w:r>
        <w:rPr>
          <w:b/>
        </w:rPr>
        <w:t>o</w:t>
      </w:r>
      <w:r w:rsidRPr="003D6B19">
        <w:rPr>
          <w:b/>
        </w:rPr>
        <w:t xml:space="preserve">r </w:t>
      </w:r>
      <w:r>
        <w:rPr>
          <w:b/>
        </w:rPr>
        <w:t>t</w:t>
      </w:r>
      <w:r w:rsidRPr="003D6B19">
        <w:rPr>
          <w:b/>
        </w:rPr>
        <w:t xml:space="preserve">he </w:t>
      </w:r>
      <w:r w:rsidRPr="003D6B19">
        <w:rPr>
          <w:b/>
          <w:lang w:val="id-ID"/>
        </w:rPr>
        <w:t>Proposed Method/Algorithm</w:t>
      </w:r>
      <w:r w:rsidRPr="003D6B19">
        <w:rPr>
          <w:b/>
          <w:lang w:val="en-ID"/>
        </w:rPr>
        <w:t xml:space="preserve"> </w:t>
      </w:r>
      <w:r w:rsidRPr="0060348A">
        <w:rPr>
          <w:bCs/>
          <w:i/>
          <w:iCs/>
          <w:lang w:val="en-ID"/>
        </w:rPr>
        <w:t>(</w:t>
      </w:r>
      <w:r w:rsidR="0060348A" w:rsidRPr="0060348A">
        <w:rPr>
          <w:bCs/>
          <w:i/>
          <w:iCs/>
          <w:lang w:val="en-ID"/>
        </w:rPr>
        <w:t>o</w:t>
      </w:r>
      <w:r w:rsidRPr="0060348A">
        <w:rPr>
          <w:bCs/>
          <w:i/>
          <w:iCs/>
          <w:lang w:val="en-ID"/>
        </w:rPr>
        <w:t>ptional)</w:t>
      </w:r>
      <w:r w:rsidRPr="003D6B19">
        <w:rPr>
          <w:b/>
          <w:lang w:val="en-ID"/>
        </w:rPr>
        <w:t xml:space="preserve">, 3. </w:t>
      </w:r>
      <w:r w:rsidRPr="003D6B19">
        <w:rPr>
          <w:b/>
          <w:lang w:val="id-ID"/>
        </w:rPr>
        <w:t>Method</w:t>
      </w:r>
      <w:r w:rsidRPr="003D6B19">
        <w:rPr>
          <w:b/>
          <w:lang w:val="en-ID"/>
        </w:rPr>
        <w:t xml:space="preserve">, </w:t>
      </w:r>
      <w:r>
        <w:rPr>
          <w:b/>
          <w:lang w:val="en-ID"/>
        </w:rPr>
        <w:br/>
      </w:r>
      <w:r w:rsidRPr="003D6B19">
        <w:rPr>
          <w:b/>
          <w:lang w:val="en-ID"/>
        </w:rPr>
        <w:t xml:space="preserve">4. </w:t>
      </w:r>
      <w:r w:rsidRPr="003D6B19">
        <w:rPr>
          <w:b/>
          <w:lang w:val="id-ID"/>
        </w:rPr>
        <w:t xml:space="preserve">Results </w:t>
      </w:r>
      <w:r>
        <w:rPr>
          <w:b/>
        </w:rPr>
        <w:t>a</w:t>
      </w:r>
      <w:r w:rsidRPr="003D6B19">
        <w:rPr>
          <w:b/>
          <w:lang w:val="id-ID"/>
        </w:rPr>
        <w:t>nd Discussion</w:t>
      </w:r>
      <w:r w:rsidRPr="003D6B19">
        <w:rPr>
          <w:b/>
          <w:lang w:val="en-ID"/>
        </w:rPr>
        <w:t xml:space="preserve">, </w:t>
      </w:r>
      <w:r>
        <w:rPr>
          <w:b/>
          <w:lang w:val="en-ID"/>
        </w:rPr>
        <w:t>a</w:t>
      </w:r>
      <w:r w:rsidRPr="003D6B19">
        <w:rPr>
          <w:b/>
          <w:lang w:val="en-ID"/>
        </w:rPr>
        <w:t xml:space="preserve">nd 5. </w:t>
      </w:r>
      <w:r w:rsidRPr="003D6B19">
        <w:rPr>
          <w:b/>
          <w:lang w:val="id-ID"/>
        </w:rPr>
        <w:t>Conclusion</w:t>
      </w:r>
      <w:r>
        <w:rPr>
          <w:b/>
        </w:rPr>
        <w:t xml:space="preserve">. </w:t>
      </w:r>
      <w:r w:rsidRPr="007F01C2">
        <w:rPr>
          <w:bCs/>
        </w:rPr>
        <w:t xml:space="preserve">The structure is well-known as </w:t>
      </w:r>
      <w:r w:rsidRPr="007F01C2">
        <w:rPr>
          <w:b/>
          <w:lang w:val="en-ID"/>
        </w:rPr>
        <w:t>IMRaD</w:t>
      </w:r>
      <w:r w:rsidRPr="007F01C2">
        <w:rPr>
          <w:bCs/>
          <w:lang w:val="en-ID"/>
        </w:rPr>
        <w:t xml:space="preserve"> style</w:t>
      </w:r>
      <w:r w:rsidRPr="007F01C2">
        <w:rPr>
          <w:bCs/>
          <w:lang w:val="id-ID"/>
        </w:rPr>
        <w:t>.</w:t>
      </w:r>
      <w:r w:rsidRPr="003D6B19">
        <w:rPr>
          <w:lang w:val="id-ID"/>
        </w:rPr>
        <w:t xml:space="preserve"> </w:t>
      </w:r>
    </w:p>
    <w:p w14:paraId="199AFAC3" w14:textId="76D17298" w:rsidR="005C4941" w:rsidRPr="003D6B19" w:rsidRDefault="005C4941" w:rsidP="005C4941">
      <w:pPr>
        <w:ind w:firstLine="720"/>
        <w:jc w:val="both"/>
        <w:rPr>
          <w:spacing w:val="-2"/>
          <w:lang w:val="id-ID"/>
        </w:rPr>
      </w:pPr>
      <w:bookmarkStart w:id="4" w:name="_Hlk80000697"/>
      <w:r w:rsidRPr="003D6B19">
        <w:rPr>
          <w:spacing w:val="-2"/>
          <w:lang w:val="id-ID"/>
        </w:rPr>
        <w:lastRenderedPageBreak/>
        <w:t xml:space="preserve">Literature review that has been done author used in the section "INTRODUCTION" to explain </w:t>
      </w:r>
      <w:r w:rsidRPr="003D6B19">
        <w:rPr>
          <w:spacing w:val="-2"/>
          <w:lang w:val="id-ID"/>
        </w:rPr>
        <w:br/>
        <w:t xml:space="preserve">the difference of the manuscript with other papers, that it is innovative, it are used in the section "METHOD" to describe the step of research and used in the section "RESULTS AND DISCUSSION" to support the analysis of the results </w:t>
      </w:r>
      <w:r w:rsidRPr="003D6B19">
        <w:rPr>
          <w:spacing w:val="-2"/>
        </w:rPr>
        <w:fldChar w:fldCharType="begin" w:fldLock="1"/>
      </w:r>
      <w:r w:rsidRPr="003D6B19">
        <w:rPr>
          <w:spacing w:val="-2"/>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ba6f84de-1264-4176-bb33-d4bd0856084e"]}],"mendeley":{"formattedCitation":"[2]","plainTextFormattedCitation":"[2]","previouslyFormattedCitation":"[2]"},"properties":{"noteIndex":0},"schema":"https://github.com/citation-style-language/schema/raw/master/csl-citation.json"}</w:instrText>
      </w:r>
      <w:r w:rsidRPr="003D6B19">
        <w:rPr>
          <w:spacing w:val="-2"/>
        </w:rPr>
        <w:fldChar w:fldCharType="separate"/>
      </w:r>
      <w:r w:rsidRPr="003D6B19">
        <w:rPr>
          <w:noProof/>
          <w:spacing w:val="-2"/>
        </w:rPr>
        <w:t>[2]</w:t>
      </w:r>
      <w:r w:rsidRPr="003D6B19">
        <w:rPr>
          <w:spacing w:val="-2"/>
        </w:rPr>
        <w:fldChar w:fldCharType="end"/>
      </w:r>
      <w:r w:rsidRPr="003D6B19">
        <w:rPr>
          <w:spacing w:val="-2"/>
          <w:lang w:val="id-ID"/>
        </w:rPr>
        <w:t xml:space="preserve">. If the manuscript was written really have high originality, which proposed a new method or algorithm, the additional section after the "INTRODUCTION" section and before the "METHOD" section can be added to explain briefly </w:t>
      </w:r>
      <w:r w:rsidRPr="003D6B19">
        <w:rPr>
          <w:spacing w:val="-2"/>
        </w:rPr>
        <w:t xml:space="preserve">the theory and/or </w:t>
      </w:r>
      <w:r w:rsidRPr="003D6B19">
        <w:rPr>
          <w:spacing w:val="-2"/>
          <w:lang w:val="id-ID"/>
        </w:rPr>
        <w:t>the proposed method</w:t>
      </w:r>
      <w:r w:rsidRPr="003D6B19">
        <w:rPr>
          <w:spacing w:val="-2"/>
        </w:rPr>
        <w:t>/</w:t>
      </w:r>
      <w:r w:rsidRPr="003D6B19">
        <w:rPr>
          <w:spacing w:val="-2"/>
          <w:lang w:val="id-ID"/>
        </w:rPr>
        <w:t xml:space="preserve">algorithm </w:t>
      </w:r>
      <w:r w:rsidRPr="003D6B19">
        <w:rPr>
          <w:spacing w:val="-2"/>
        </w:rPr>
        <w:fldChar w:fldCharType="begin" w:fldLock="1"/>
      </w:r>
      <w:r w:rsidRPr="003D6B19">
        <w:rPr>
          <w:spacing w:val="-2"/>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efaca2e8-aaf6-4a9d-b352-b0265f4ce7df"]}],"mendeley":{"formattedCitation":"[4]","plainTextFormattedCitation":"[4]","previouslyFormattedCitation":"[4]"},"properties":{"noteIndex":0},"schema":"https://github.com/citation-style-language/schema/raw/master/csl-citation.json"}</w:instrText>
      </w:r>
      <w:r w:rsidRPr="003D6B19">
        <w:rPr>
          <w:spacing w:val="-2"/>
        </w:rPr>
        <w:fldChar w:fldCharType="separate"/>
      </w:r>
      <w:r w:rsidRPr="003D6B19">
        <w:rPr>
          <w:noProof/>
          <w:spacing w:val="-2"/>
        </w:rPr>
        <w:t>[4]</w:t>
      </w:r>
      <w:r w:rsidRPr="003D6B19">
        <w:rPr>
          <w:spacing w:val="-2"/>
        </w:rPr>
        <w:fldChar w:fldCharType="end"/>
      </w:r>
      <w:r w:rsidRPr="003D6B19">
        <w:rPr>
          <w:spacing w:val="-2"/>
          <w:lang w:val="id-ID"/>
        </w:rPr>
        <w:t>.</w:t>
      </w:r>
      <w:bookmarkEnd w:id="2"/>
    </w:p>
    <w:bookmarkEnd w:id="3"/>
    <w:bookmarkEnd w:id="4"/>
    <w:p w14:paraId="01B08C88" w14:textId="77777777" w:rsidR="00E619D6" w:rsidRPr="003D6B19" w:rsidRDefault="00E619D6" w:rsidP="00E619D6">
      <w:pPr>
        <w:jc w:val="both"/>
      </w:pPr>
    </w:p>
    <w:p w14:paraId="6D0BF8E6" w14:textId="77777777" w:rsidR="00E619D6" w:rsidRPr="003D6B19" w:rsidRDefault="00E619D6" w:rsidP="00E619D6">
      <w:pPr>
        <w:jc w:val="both"/>
      </w:pPr>
    </w:p>
    <w:p w14:paraId="7F5871EF" w14:textId="5C26292D"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(10 PT)</w:t>
      </w:r>
    </w:p>
    <w:p w14:paraId="0019F16A" w14:textId="0D6B3416" w:rsidR="00354A58" w:rsidRPr="003D6B19" w:rsidRDefault="00354A58" w:rsidP="00354A58">
      <w:pPr>
        <w:ind w:firstLine="720"/>
        <w:jc w:val="both"/>
        <w:rPr>
          <w:lang w:val="id-ID"/>
        </w:rPr>
      </w:pPr>
      <w:bookmarkStart w:id="5" w:name="_Hlk78354310"/>
      <w:r w:rsidRPr="003D6B19">
        <w:rPr>
          <w:lang w:val="id-ID"/>
        </w:rPr>
        <w:t>Explaining research chronological, including research design, research procedure (in the form of algorithms, Pseudocode or other), how to test and data acquisition</w:t>
      </w:r>
      <w:r w:rsidRPr="003D6B19">
        <w:t xml:space="preserve"> </w:t>
      </w:r>
      <w:r w:rsidRPr="003D6B19">
        <w:fldChar w:fldCharType="begin" w:fldLock="1"/>
      </w:r>
      <w:r w:rsidRPr="003D6B19">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operations","type":"article-journal","volume":"8"},"uris":["http://www.mendeley.com/documents/?uuid=1f0f8047-26f4-446e-892e-fee949c83fbb"]},{"id":"ITEM-2","itemData":{"DOI":"10.3390/s19020326","ISSN":"14248220","PMID":"30650612","abstract":"Medical care has become one of the most indispensable parts of human lives, leading to a dramatic increase in medical big data. To streamline the diagnosis and treatment process, healthcare professionals are now adopting Internet of Things (IoT)-based wearable technology. Recent years have witnessed billions of sensors, devices, and vehicles being connected through the Internet. One such technology—remote patient monitoring—is common nowadays for the treatment and care of patients. However, these technologies also pose grave privacy risks and security concerns about the data transfer and the logging of data transactions. These security and privacy problems of medical data could result from a delay in treatment progress, even endangering the patient’s life. We propose the use of a blockchain to provide secure management and analysis of healthcare big data. However, blockchains are computationally expensive, demand high bandwidth and extra computational power, and are therefore not completely suitable for most resource-constrained IoT devices meant for smart cities. In this work, we try to resolve the above-mentioned issues of using blockchain with IoT devices. We propose a novel framework of modified blockchain models suitable for IoT devices that rely on their distributed nature and other additional privacy and security properties of the network. These additional privacy and security properties in our model are based on advanced cryptographic primitives. The solutions given here make IoT application data and transactions more secure and anonymous over a blockchain-based network.","author":[{"dropping-particle":"","family":"Dwivedi","given":"Ashutosh Dhar","non-dropping-particle":"","parse-names":false,"suffix":""},{"dropping-particle":"","family":"Srivastava","given":"Gautam","non-dropping-particle":"","parse-names":false,"suffix":""},{"dropping-particle":"","family":"Dhar","given":"Shalini","non-dropping-particle":"","parse-names":false,"suffix":""},{"dropping-particle":"","family":"Singh","given":"Rajani","non-dropping-particle":"","parse-names":false,"suffix":""}],"container-title":"Sensors (Switzerland)","id":"ITEM-2","issue":"2","issued":{"date-parts":[["2019"]]},"page":"1-17","title":"A decentralized privacy-preserving healthcare blockchain for IoT","type":"article-journal","volume":"19"},"uris":["http://www.mendeley.com/documents/?uuid=373b05cf-83eb-4f4d-8315-4bae5af3a03b"]},{"id":"ITEM-3","itemData":{"DOI":"10.1109/ACCESS.2019.2931637","ISSN":"21693536","abstract":"In the cloud-based Internet of Things (IoT) environments, quantifying uncertainty is an important element input to keep the acceptable level of reliability in various configurations. In this paper, we aim to address the pricing model of delivering data over the cloud while taking into consideration the dynamic uncertainty factors such as network topology, transmission/reception energy, nodal charge and power, and computation capacity. These uncertainty factors are mapped to different nodes with varying capabilities to be processed using Artificial Intelligence (AI)-based algorithms. Accordingly, we aim to find a way to calculate and predict the price per big data service over the cloud using AI and deep learning. Therefore, in this paper, we propose a framework to address big data delivery issues in cloud-based IoT environments by considering uncertainty factors. We compare the performance of the framework using two AI-based techniques called Genetic Algorithm (GA) and Simulated Annealing Algorithm (SAA) in both centralized and distributed versions. The use of AI techniques can be applied in multilevel to provide a kind of deep learning to further improve the performance of the system under study. The results reveal that the distributed algorithm outperforms the centralized one. In addition, the results show that the GA has lower running time compared to the SAA in all the test cases such as 68% of improvement in the centralized version, and 66% of improvement in the distributed version in case when the size of uncertainty array is 256. Moreover, when the size of uncertainty array increases, the results show 60% speed up in the distributed GA compared to its centralized version. The improvements achieved would help the service providers to actually improve their profit using the proposed framework.","author":[{"dropping-particle":"","family":"Al-Turjman","given":"Fadi","non-dropping-particle":"","parse-names":false,"suffix":""},{"dropping-particle":"","family":"Zahmatkesh","given":"Hadi","non-dropping-particle":"","parse-names":false,"suffix":""},{"dropping-particle":"","family":"Mostarda","given":"Leonardo","non-dropping-particle":"","parse-names":false,"suffix":""}],"container-title":"IEEE Access","id":"ITEM-3","issued":{"date-parts":[["2019"]]},"page":"115749-115759","publisher":"IEEE","title":"Quantifying uncertainty in internet of medical things and big-data services using intelligence and deep learning","type":"article-journal","volume":"7"},"uris":["http://www.mendeley.com/documents/?uuid=27937d55-a219-4e6c-b7b7-19799d992b98"]}],"mendeley":{"formattedCitation":"[5]–[7]","plainTextFormattedCitation":"[5]–[7]","previouslyFormattedCitation":"[5]–[7]"},"properties":{"noteIndex":0},"schema":"https://github.com/citation-style-language/schema/raw/master/csl-citation.json"}</w:instrText>
      </w:r>
      <w:r w:rsidRPr="003D6B19">
        <w:fldChar w:fldCharType="separate"/>
      </w:r>
      <w:r w:rsidRPr="003D6B19">
        <w:rPr>
          <w:noProof/>
        </w:rPr>
        <w:t>[5]–[7]</w:t>
      </w:r>
      <w:r w:rsidRPr="003D6B19">
        <w:fldChar w:fldCharType="end"/>
      </w:r>
      <w:r w:rsidRPr="003D6B19">
        <w:rPr>
          <w:lang w:val="id-ID"/>
        </w:rPr>
        <w:t>. The description of the course of research should be supported references, so the explanation can be accepted scientifically</w:t>
      </w:r>
      <w:r w:rsidRPr="003D6B19">
        <w:t xml:space="preserve"> </w:t>
      </w:r>
      <w:r w:rsidRPr="003D6B19">
        <w:fldChar w:fldCharType="begin" w:fldLock="1"/>
      </w:r>
      <w:r w:rsidRPr="003D6B19">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ba6f84de-1264-4176-bb33-d4bd0856084e"]}],"mendeley":{"formattedCitation":"[2]","plainTextFormattedCitation":"[2]","previouslyFormattedCitation":"[2]"},"properties":{"noteIndex":0},"schema":"https://github.com/citation-style-language/schema/raw/master/csl-citation.json"}</w:instrText>
      </w:r>
      <w:r w:rsidRPr="003D6B19">
        <w:fldChar w:fldCharType="separate"/>
      </w:r>
      <w:r w:rsidRPr="003D6B19">
        <w:rPr>
          <w:noProof/>
        </w:rPr>
        <w:t>[2]</w:t>
      </w:r>
      <w:r w:rsidRPr="003D6B19">
        <w:fldChar w:fldCharType="end"/>
      </w:r>
      <w:r w:rsidRPr="003D6B19">
        <w:t xml:space="preserve">, </w:t>
      </w:r>
      <w:r w:rsidRPr="003D6B19">
        <w:fldChar w:fldCharType="begin" w:fldLock="1"/>
      </w:r>
      <w:r w:rsidRPr="003D6B19">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efaca2e8-aaf6-4a9d-b352-b0265f4ce7df"]}],"mendeley":{"formattedCitation":"[4]","plainTextFormattedCitation":"[4]","previouslyFormattedCitation":"[4]"},"properties":{"noteIndex":0},"schema":"https://github.com/citation-style-language/schema/raw/master/csl-citation.json"}</w:instrText>
      </w:r>
      <w:r w:rsidRPr="003D6B19">
        <w:fldChar w:fldCharType="separate"/>
      </w:r>
      <w:r w:rsidRPr="003D6B19">
        <w:rPr>
          <w:noProof/>
        </w:rPr>
        <w:t>[4]</w:t>
      </w:r>
      <w:r w:rsidRPr="003D6B19">
        <w:fldChar w:fldCharType="end"/>
      </w:r>
      <w:r w:rsidRPr="003D6B19">
        <w:rPr>
          <w:lang w:val="id-ID"/>
        </w:rPr>
        <w:t>.</w:t>
      </w:r>
      <w:r w:rsidRPr="003D6B19">
        <w:t xml:space="preserve"> </w:t>
      </w:r>
      <w:r w:rsidRPr="003D6B19">
        <w:rPr>
          <w:lang w:val="id-ID"/>
        </w:rPr>
        <w:t>Figures</w:t>
      </w:r>
      <w:r w:rsidRPr="003D6B19">
        <w:t xml:space="preserve"> 1-2</w:t>
      </w:r>
      <w:r w:rsidRPr="003D6B19">
        <w:rPr>
          <w:lang w:val="id-ID"/>
        </w:rPr>
        <w:t xml:space="preserve"> and</w:t>
      </w:r>
      <w:r w:rsidRPr="003D6B19">
        <w:t xml:space="preserve"> </w:t>
      </w:r>
      <w:r w:rsidRPr="003D6B19">
        <w:rPr>
          <w:lang w:val="id-ID"/>
        </w:rPr>
        <w:t>Table</w:t>
      </w:r>
      <w:r w:rsidRPr="003D6B19">
        <w:t xml:space="preserve"> 1</w:t>
      </w:r>
      <w:r w:rsidRPr="003D6B19">
        <w:rPr>
          <w:lang w:val="id-ID"/>
        </w:rPr>
        <w:t xml:space="preserve"> are presented center, as shown below and cited in the manuscript</w:t>
      </w:r>
      <w:r w:rsidRPr="003D6B19">
        <w:t xml:space="preserve"> </w:t>
      </w:r>
      <w:r w:rsidRPr="003D6B19">
        <w:fldChar w:fldCharType="begin" w:fldLock="1"/>
      </w:r>
      <w:r w:rsidRPr="003D6B19">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1f0f8047-26f4-446e-892e-fee949c83fbb"]}],"mendeley":{"formattedCitation":"[5]","plainTextFormattedCitation":"[5]","previouslyFormattedCitation":"[5]"},"properties":{"noteIndex":0},"schema":"https://github.com/citation-style-language/schema/raw/master/csl-citation.json"}</w:instrText>
      </w:r>
      <w:r w:rsidRPr="003D6B19">
        <w:fldChar w:fldCharType="separate"/>
      </w:r>
      <w:r w:rsidRPr="003D6B19">
        <w:rPr>
          <w:noProof/>
        </w:rPr>
        <w:t>[5]</w:t>
      </w:r>
      <w:r w:rsidRPr="003D6B19">
        <w:fldChar w:fldCharType="end"/>
      </w:r>
      <w:r w:rsidRPr="003D6B19">
        <w:t xml:space="preserve">, </w:t>
      </w:r>
      <w:r w:rsidRPr="003D6B19">
        <w:fldChar w:fldCharType="begin" w:fldLock="1"/>
      </w:r>
      <w:r w:rsidRPr="003D6B19">
        <w:instrText>ADDIN CSL_CITATION {"citationItems":[{"id":"ITEM-1","itemData":{"DOI":"10.26599/BDMA.2018.9020031","ISSN":"20960654","abstract":"In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system.","author":[{"dropping-particle":"","family":"Kumar","given":"Sunil","non-dropping-particle":"","parse-names":false,"suffix":""},{"dropping-particle":"","family":"Singh","given":"Maninder","non-dropping-particle":"","parse-names":false,"suffix":""}],"container-title":"Big Data Mining and Analytics","id":"ITEM-1","issue":"1","issued":{"date-parts":[["2019"]]},"page":"48-57","title":"Big data analytics for healthcare industry: Impact, applications, and tools","type":"article-journal","volume":"2"},"uris":["http://www.mendeley.com/documents/?uuid=e24c7d88-2f62-40ee-a899-9a607176bd0f"]},{"id":"ITEM-2","itemData":{"DOI":"10.1109/ACCESS.2018.2887076","ISSN":"21693536","abstract":"The Internet of Vehicles (IoV) is a convergence of the mobile Internet and the Internet of Things (IoT), where vehicles function as smart moving intelligent nodes or objects within the sensing network. This paper gives two contributions to the state-of-the-art for IoV technology research. First, we present a comprehensive review of the current and emerging IoV paradigms and communication models with an emphasis on deployment in smart cities. Currently, surveys from many authors have focused concentration on the IoV as only serving applications for intelligent transportation like driver safety, traffic efficiency, and infotainment. This paper presents a more inclusive review of the IoV for also serving the needs of smart cities for large-scale data sensing, collection, information processing, and storage. The second component of the paper presents a new universal architecture for the IoV which can be used for different communication models in smart cities to address the above challenges. It consists of seven layers: vehicle identification layer, object layer, inter-intra devices layer, communication layer, servers and cloud services layer, big data and multimedia computation layer, and application layer. The final part of this paper discusses various challenges and gives some experimental results and insights for future research direction such as the effects of a large and growing number of vehicles and the packet delivery success rate in the dynamic network structure in a smart city scenario.","author":[{"dropping-particle":"","family":"Ang","given":"Li Minn","non-dropping-particle":"","parse-names":false,"suffix":""},{"dropping-particle":"","family":"Seng","given":"Kah Phooi","non-dropping-particle":"","parse-names":false,"suffix":""},{"dropping-particle":"","family":"Ijemaru","given":"Gerald K.","non-dropping-particle":"","parse-names":false,"suffix":""},{"dropping-particle":"","family":"Zungeru","given":"Adamu Murtala","non-dropping-particle":"","parse-names":false,"suffix":""}],"container-title":"IEEE Access","id":"ITEM-2","issued":{"date-parts":[["2019"]]},"page":"6473-6492","publisher":"IEEE","title":"Deployment of IoV for Smart Cities: Applications, Architecture, and Challenges","type":"article-journal","volume":"7"},"uris":["http://www.mendeley.com/documents/?uuid=fa70b4c7-63ae-4de1-a51f-81b90b696725"]},{"id":"ITEM-3","itemData":{"DOI":"10.1016/j.inffus.2019.05.004","ISSN":"15662535","abstract":"The advancement of various research sectors such as Internet of Things (IoT), Machine Learning, Data Mining, Big Data, and Communication Technology has shed some light in transforming an urban city integrating the aforementioned techniques to a commonly known term - Smart City. With the emergence of smart city, plethora of data sources have been made available for wide variety of applications. The common technique for handling multiple data sources is data fusion, where it improves data output quality or extracts knowledge from the raw data. In order to cater evergrowing highly complicated applications, studies in smart city have to utilize data from various sources and evaluate their performance based on multiple aspects. To this end, we introduce a multi-perspectives classification of the data fusion to evaluate the smart city applications. Moreover, we applied the proposed multi-perspectives classification to evaluate selected applications in each domain of the smart city. We conclude the paper by discussing potential future direction and challenges of data fusion integration.","author":[{"dropping-particle":"","family":"Lau","given":"Billy Pik Lik","non-dropping-particle":"","parse-names":false,"suffix":""},{"dropping-particle":"","family":"Marakkalage","given":"Sumudu Hasala","non-dropping-particle":"","parse-names":false,"suffix":""},{"dropping-particle":"","family":"Zhou","given":"Yuren","non-dropping-particle":"","parse-names":false,"suffix":""},{"dropping-particle":"","family":"Hassan","given":"Naveed Ul","non-dropping-particle":"","parse-names":false,"suffix":""},{"dropping-particle":"","family":"Yuen","given":"Chau","non-dropping-particle":"","parse-names":false,"suffix":""},{"dropping-particle":"","family":"Zhang","given":"Meng","non-dropping-particle":"","parse-names":false,"suffix":""},{"dropping-particle":"","family":"Tan","given":"U. Xuan","non-dropping-particle":"","parse-names":false,"suffix":""}],"container-title":"Information Fusion","id":"ITEM-3","issue":"January","issued":{"date-parts":[["2019"]]},"page":"357-374","publisher":"Elsevier B.V.","title":"A survey of data fusion in smart city applications","type":"article-journal","volume":"52"},"uris":["http://www.mendeley.com/documents/?uuid=87772c72-26c7-41e9-9f69-12a7aeb63887"]},{"id":"ITEM-4","itemData":{"DOI":"10.1109/CVPR.2019.00046","ISBN":"9781728132938","ISSN":"10636919","abstract":"Modern machine learning suffers from textit{catastrophic forgetting} when learning new classes incrementally. The performance dramatically degrades due to the missing data of old classes. Incremental learning methods have been proposed to retain the knowledge acquired from the old classes, by using knowledge distilling and keeping a few exemplars from the old classes. However, these methods struggle to textbf{scale up to a large number of classes. We believe this is because of the combination of two factors: (a) the data imbalance between the old and new classes, and (b) the increasing number of visually similar classes. Distinguishing between an increasing number of visually similar classes is particularly challenging, when the training data is unbalanced. We propose a simple and effective method to address this data imbalance issue. We found that the last fully connected layer has a strong bias towards the new classes, and this bias can be corrected by a linear model. With two bias parameters, our method performs remarkably well on two large datasets: ImageNet (1000 classes) and MS-Celeb-1M (10000 classes), outperforming the state-of-the-art algorithms by 11.1% and 13.2% respectively.","author":[{"dropping-particle":"","family":"Wu","given":"Yue","non-dropping-particle":"","parse-names":false,"suffix":""},{"dropping-particle":"","family":"Chen","given":"Yinpeng","non-dropping-particle":"","parse-names":false,"suffix":""},{"dropping-particle":"","family":"Wang","given":"Lijuan","non-dropping-particle":"","parse-names":false,"suffix":""},{"dropping-particle":"","family":"Ye","given":"Yuancheng","non-dropping-particle":"","parse-names":false,"suffix":""},{"dropping-particle":"","family":"Liu","given":"Zicheng","non-dropping-particle":"","parse-names":false,"suffix":""},{"dropping-particle":"","family":"Guo","given":"Yandong","non-dropping-particle":"","parse-names":false,"suffix":""},{"dropping-particle":"","family":"Fu","given":"Yun","non-dropping-particle":"","parse-names":false,"suffix":""}],"container-title":"Proceedings of the IEEE Computer Society Conference on Computer Vision and Pattern Recognition","id":"ITEM-4","issued":{"date-parts":[["2019"]]},"page":"374-382","title":"Large scale incremental learning","type":"article-journal","volume":"2019-June"},"uris":["http://www.mendeley.com/documents/?uuid=5468c463-0a1d-4b77-b214-11c0ba7cd333"]},{"id":"ITEM-5","itemData":{"DOI":"10.1080/19942060.2019.1613448","ISSN":"1997003X","abstract":"The combination of machine learning and numerical methods has recently become popular in the prediction of macroscopic and microscopic hydrodynamics parameters of bubble column reactors. Such numerical combination can develop a smart multiphase bubble column reactor with the ability of low-cost computational time when considering the big data. However, the accuracy of such models should be improved by optimizing the data parameters. This paper uses an adaptive-network-based fuzzy inference system (ANFIS) to train four big data inputs with a novel integration of computational fluid dynamics (CFD) model of gas. The results show that the increasing number of input variables improves the intelligence of the ANFIS method up to R = 0.99, and the number of rules during the learning process has a significant effect on the accuracy of this type of modeling. Furthermore, the proper selection of model’s parameters results in higher accuracy in the prediction of the flow characteristics in the column structure.","author":[{"dropping-particle":"","family":"Mosavi","given":"Amir","non-dropping-particle":"","parse-names":false,"suffix":""},{"dropping-particle":"","family":"Shamshirband","given":"Shahaboddin","non-dropping-particle":"","parse-names":false,"suffix":""},{"dropping-particle":"","family":"Salwana","given":"Ely","non-dropping-particle":"","parse-names":false,"suffix":""},{"dropping-particle":"","family":"Chau","given":"Kwok wing","non-dropping-particle":"","parse-names":false,"suffix":""},{"dropping-particle":"","family":"Tah","given":"Joseph H.M.","non-dropping-particle":"","parse-names":false,"suffix":""}],"container-title":"Engineering Applications of Computational Fluid Mechanics","id":"ITEM-5","issue":"1","issued":{"date-parts":[["2019"]]},"page":"482-492","title":"Prediction of multi-inputs bubble column reactor using a novel hybrid model of computational fluid dynamics and machine learning","type":"article-journal","volume":"13"},"uris":["http://www.mendeley.com/documents/?uuid=ef44706e-b2e4-4015-a1ad-66870d964146"]},{"id":"ITEM-6","itemData":{"DOI":"10.1016/j.jksuci.2017.12.007","ISSN":"22131248","abstract":"The domain of healthcare acquired its influence by the impact of big data since the data sources involved in the healthcare organizations are well-known for their volume, heterogeneous complexity and high dynamism. Though the role of big data analytical techniques, platforms, tools are realized among various domains, their impact on healthcare organization for implementing and delivering novel use-cases for potential healthcare applications shows promising research directions. In the context of big data, the success of healthcare applications solely depends on the underlying architecture and utilization of appropriate tools as evidenced in pioneering research attempts. Novel research works have been carried out for deriving application specific healthcare frameworks that offer diversified data analytical capabilities for handling sources of data ranging from electronic health records to medical images. In this paper, we have presented various analytical avenues that exist in the patient-centric healthcare system from the perspective of various stakeholders. We have also reviewed various big data frameworks with respect to underlying data sources, analytical capability and application areas. In addition, the implication of big data tools in developing healthcare eco system is also presented.","author":[{"dropping-particle":"","family":"Palanisamy","given":"Venketesh","non-dropping-particle":"","parse-names":false,"suffix":""},{"dropping-particle":"","family":"Thirunavukarasu","given":"Ramkumar","non-dropping-particle":"","parse-names":false,"suffix":""}],"container-title":"Journal of King Saud University - Computer and Information Sciences","id":"ITEM-6","issue":"4","issued":{"date-parts":[["2019"]]},"page":"415-425","publisher":"King Saud University","title":"Implications of big data analytics in developing healthcare frameworks – A review","type":"article-journal","volume":"31"},"uris":["http://www.mendeley.com/documents/?uuid=0dc8494f-c0c2-4e38-a3f0-276088b0fab8"]}],"mendeley":{"formattedCitation":"[8]–[13]","plainTextFormattedCitation":"[8]–[13]","previouslyFormattedCitation":"[8]–[13]"},"properties":{"noteIndex":0},"schema":"https://github.com/citation-style-language/schema/raw/master/csl-citation.json"}</w:instrText>
      </w:r>
      <w:r w:rsidRPr="003D6B19">
        <w:fldChar w:fldCharType="separate"/>
      </w:r>
      <w:r w:rsidRPr="003D6B19">
        <w:rPr>
          <w:noProof/>
        </w:rPr>
        <w:t>[8]–[13]</w:t>
      </w:r>
      <w:r w:rsidRPr="003D6B19">
        <w:fldChar w:fldCharType="end"/>
      </w:r>
      <w:r w:rsidRPr="003D6B19">
        <w:rPr>
          <w:lang w:val="id-ID"/>
        </w:rPr>
        <w:t xml:space="preserve">. </w:t>
      </w:r>
      <w:r w:rsidR="00A142CD">
        <w:t xml:space="preserve">The </w:t>
      </w:r>
      <w:r w:rsidR="0098116E" w:rsidRPr="0098116E">
        <w:t>nodes</w:t>
      </w:r>
      <w:r w:rsidRPr="0098116E">
        <w:rPr>
          <w:lang w:val="id-ID"/>
        </w:rPr>
        <w:t xml:space="preserve"> </w:t>
      </w:r>
      <w:r w:rsidR="0098116E" w:rsidRPr="0098116E">
        <w:t>energy consumption in network OHCRP (50% DSr) vs SPEED</w:t>
      </w:r>
      <w:r w:rsidR="00A142CD">
        <w:t xml:space="preserve"> has been illustrated in </w:t>
      </w:r>
      <w:r w:rsidR="00A142CD" w:rsidRPr="003D6B19">
        <w:rPr>
          <w:lang w:val="id-ID"/>
        </w:rPr>
        <w:t>Figure 2(a)</w:t>
      </w:r>
      <w:r w:rsidR="0098116E" w:rsidRPr="0098116E">
        <w:t xml:space="preserve"> and</w:t>
      </w:r>
      <w:r w:rsidR="00BC37CF" w:rsidRPr="0098116E">
        <w:t xml:space="preserve"> </w:t>
      </w:r>
      <w:bookmarkStart w:id="6" w:name="_Hlk78529987"/>
      <w:r w:rsidR="00A142CD" w:rsidRPr="0098116E">
        <w:t>network OHCRP (50% DSr) vs THVR</w:t>
      </w:r>
      <w:r w:rsidR="00A142CD" w:rsidRPr="0098116E">
        <w:rPr>
          <w:lang w:val="id-ID"/>
        </w:rPr>
        <w:t xml:space="preserve"> </w:t>
      </w:r>
      <w:r w:rsidR="00A142CD">
        <w:t>has been illustrated</w:t>
      </w:r>
      <w:r w:rsidR="00A142CD" w:rsidRPr="0098116E">
        <w:rPr>
          <w:lang w:val="id-ID"/>
        </w:rPr>
        <w:t xml:space="preserve"> </w:t>
      </w:r>
      <w:r w:rsidRPr="0098116E">
        <w:rPr>
          <w:lang w:val="id-ID"/>
        </w:rPr>
        <w:t>Figure 2(b)</w:t>
      </w:r>
      <w:r w:rsidRPr="003D6B19">
        <w:rPr>
          <w:lang w:val="id-ID"/>
        </w:rPr>
        <w:t>.</w:t>
      </w:r>
      <w:bookmarkEnd w:id="6"/>
    </w:p>
    <w:p w14:paraId="1630EC55" w14:textId="77777777" w:rsidR="00354A58" w:rsidRPr="003D6B19" w:rsidRDefault="00354A58" w:rsidP="00354A58">
      <w:pPr>
        <w:rPr>
          <w:b/>
          <w:bCs/>
        </w:rPr>
      </w:pPr>
      <w:bookmarkStart w:id="7" w:name="_Hlk78354375"/>
    </w:p>
    <w:p w14:paraId="6DE72396" w14:textId="77777777" w:rsidR="00354A58" w:rsidRPr="003D6B19" w:rsidRDefault="00354A58" w:rsidP="00354A58">
      <w:pPr>
        <w:rPr>
          <w:b/>
          <w:bCs/>
        </w:rPr>
      </w:pPr>
    </w:p>
    <w:p w14:paraId="574D1FDC" w14:textId="396EE06F" w:rsidR="00354A58" w:rsidRPr="003D6B19" w:rsidRDefault="00DB3F37" w:rsidP="00354A58">
      <w:pPr>
        <w:jc w:val="center"/>
        <w:rPr>
          <w:noProof/>
          <w:lang w:val="id-ID"/>
        </w:rPr>
      </w:pPr>
      <w:r w:rsidRPr="00D12D9D">
        <w:rPr>
          <w:noProof/>
        </w:rPr>
        <w:drawing>
          <wp:inline distT="0" distB="0" distL="0" distR="0" wp14:anchorId="6DA4CAA1" wp14:editId="49916B75">
            <wp:extent cx="3106307" cy="2073348"/>
            <wp:effectExtent l="0" t="0" r="0" b="0"/>
            <wp:docPr id="1027" name="Picture 8" descr="C:\Users\Asus\Pictures\sv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8" descr="C:\Users\Asus\Pictures\svm 3.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06307" cy="2073348"/>
                    </a:xfrm>
                    <a:prstGeom prst="rect">
                      <a:avLst/>
                    </a:prstGeom>
                  </pic:spPr>
                </pic:pic>
              </a:graphicData>
            </a:graphic>
          </wp:inline>
        </w:drawing>
      </w:r>
    </w:p>
    <w:p w14:paraId="44CC2A31" w14:textId="77777777" w:rsidR="00354A58" w:rsidRPr="003D6B19" w:rsidRDefault="00354A58" w:rsidP="00354A58">
      <w:pPr>
        <w:jc w:val="center"/>
        <w:rPr>
          <w:lang w:val="id-ID"/>
        </w:rPr>
      </w:pPr>
    </w:p>
    <w:p w14:paraId="677B6986" w14:textId="4061A20C" w:rsidR="00354A58" w:rsidRPr="003D6B19" w:rsidRDefault="00354A58" w:rsidP="00354A58">
      <w:pPr>
        <w:jc w:val="center"/>
        <w:rPr>
          <w:b/>
          <w:bCs/>
        </w:rPr>
      </w:pPr>
      <w:r w:rsidRPr="003D6B19">
        <w:rPr>
          <w:lang w:val="id-ID"/>
        </w:rPr>
        <w:t xml:space="preserve">Figure 1. </w:t>
      </w:r>
      <w:r w:rsidR="00DB3F37" w:rsidRPr="00DB3F37">
        <w:t>Illustration of support vector machine</w:t>
      </w:r>
    </w:p>
    <w:p w14:paraId="048C1DB7" w14:textId="77777777" w:rsidR="00354A58" w:rsidRPr="003D6B19" w:rsidRDefault="00354A58" w:rsidP="00354A58">
      <w:pPr>
        <w:jc w:val="center"/>
        <w:rPr>
          <w:b/>
          <w:bCs/>
        </w:rPr>
      </w:pPr>
    </w:p>
    <w:p w14:paraId="0E5C9567" w14:textId="5CC5162C" w:rsidR="00354A58" w:rsidRDefault="00354A58" w:rsidP="00354A58">
      <w:pPr>
        <w:jc w:val="center"/>
        <w:rPr>
          <w:b/>
          <w:bCs/>
        </w:rPr>
      </w:pPr>
    </w:p>
    <w:p w14:paraId="1A06B4E6" w14:textId="77777777" w:rsidR="0098116E" w:rsidRPr="003D6B19" w:rsidRDefault="0098116E" w:rsidP="0098116E">
      <w:pPr>
        <w:jc w:val="center"/>
        <w:rPr>
          <w:lang w:val="id-ID"/>
        </w:rPr>
      </w:pPr>
      <w:r w:rsidRPr="003D6B19">
        <w:rPr>
          <w:lang w:val="id-ID"/>
        </w:rPr>
        <w:t xml:space="preserve">Table 1. The </w:t>
      </w:r>
      <w:r w:rsidRPr="003D6B19">
        <w:t>p</w:t>
      </w:r>
      <w:r w:rsidRPr="003D6B19">
        <w:rP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24"/>
        <w:gridCol w:w="1358"/>
        <w:gridCol w:w="1350"/>
      </w:tblGrid>
      <w:tr w:rsidR="0098116E" w:rsidRPr="003D6B19" w14:paraId="4CE442C2" w14:textId="77777777" w:rsidTr="000866DA">
        <w:trPr>
          <w:jc w:val="center"/>
        </w:trPr>
        <w:tc>
          <w:tcPr>
            <w:tcW w:w="1124" w:type="dxa"/>
            <w:tcBorders>
              <w:top w:val="single" w:sz="4" w:space="0" w:color="auto"/>
              <w:bottom w:val="single" w:sz="4" w:space="0" w:color="auto"/>
            </w:tcBorders>
          </w:tcPr>
          <w:p w14:paraId="0E569F4B" w14:textId="77777777" w:rsidR="0098116E" w:rsidRPr="003D6B19" w:rsidRDefault="0098116E" w:rsidP="000866DA">
            <w:pPr>
              <w:jc w:val="center"/>
              <w:rPr>
                <w:sz w:val="16"/>
                <w:szCs w:val="16"/>
                <w:lang w:val="id-ID"/>
              </w:rPr>
            </w:pPr>
            <w:r w:rsidRPr="003D6B19">
              <w:rPr>
                <w:sz w:val="16"/>
                <w:szCs w:val="16"/>
                <w:lang w:val="id-ID"/>
              </w:rPr>
              <w:t>Variable</w:t>
            </w:r>
          </w:p>
        </w:tc>
        <w:tc>
          <w:tcPr>
            <w:tcW w:w="1358" w:type="dxa"/>
            <w:tcBorders>
              <w:top w:val="single" w:sz="4" w:space="0" w:color="auto"/>
              <w:bottom w:val="single" w:sz="4" w:space="0" w:color="auto"/>
            </w:tcBorders>
          </w:tcPr>
          <w:p w14:paraId="2C29BB84" w14:textId="77777777" w:rsidR="0098116E" w:rsidRPr="003D6B19" w:rsidRDefault="0098116E" w:rsidP="000866DA">
            <w:pPr>
              <w:jc w:val="center"/>
              <w:rPr>
                <w:sz w:val="16"/>
                <w:szCs w:val="16"/>
              </w:rPr>
            </w:pPr>
            <w:r w:rsidRPr="003D6B19">
              <w:rPr>
                <w:sz w:val="16"/>
                <w:szCs w:val="16"/>
                <w:lang w:val="id-ID"/>
              </w:rPr>
              <w:t>Speed</w:t>
            </w:r>
            <w:r w:rsidRPr="003D6B19">
              <w:rPr>
                <w:sz w:val="16"/>
                <w:szCs w:val="16"/>
              </w:rPr>
              <w:t xml:space="preserve"> (rpm)</w:t>
            </w:r>
          </w:p>
        </w:tc>
        <w:tc>
          <w:tcPr>
            <w:tcW w:w="1350" w:type="dxa"/>
            <w:tcBorders>
              <w:top w:val="single" w:sz="4" w:space="0" w:color="auto"/>
              <w:bottom w:val="single" w:sz="4" w:space="0" w:color="auto"/>
            </w:tcBorders>
          </w:tcPr>
          <w:p w14:paraId="580B846E" w14:textId="77777777" w:rsidR="0098116E" w:rsidRPr="003D6B19" w:rsidRDefault="0098116E" w:rsidP="000866DA">
            <w:pPr>
              <w:jc w:val="center"/>
              <w:rPr>
                <w:sz w:val="16"/>
                <w:szCs w:val="16"/>
              </w:rPr>
            </w:pPr>
            <w:r w:rsidRPr="003D6B19">
              <w:rPr>
                <w:sz w:val="16"/>
                <w:szCs w:val="16"/>
                <w:lang w:val="id-ID"/>
              </w:rPr>
              <w:t>Power</w:t>
            </w:r>
            <w:r w:rsidRPr="003D6B19">
              <w:rPr>
                <w:sz w:val="16"/>
                <w:szCs w:val="16"/>
              </w:rPr>
              <w:t xml:space="preserve"> (kW)</w:t>
            </w:r>
          </w:p>
        </w:tc>
      </w:tr>
      <w:tr w:rsidR="0098116E" w:rsidRPr="003D6B19" w14:paraId="2979D53F" w14:textId="77777777" w:rsidTr="000866DA">
        <w:trPr>
          <w:jc w:val="center"/>
        </w:trPr>
        <w:tc>
          <w:tcPr>
            <w:tcW w:w="1124" w:type="dxa"/>
            <w:tcBorders>
              <w:top w:val="single" w:sz="4" w:space="0" w:color="auto"/>
            </w:tcBorders>
          </w:tcPr>
          <w:p w14:paraId="6BE1DB4C" w14:textId="77777777" w:rsidR="0098116E" w:rsidRPr="003D6B19" w:rsidRDefault="0098116E" w:rsidP="000866DA">
            <w:pPr>
              <w:jc w:val="center"/>
              <w:rPr>
                <w:sz w:val="16"/>
                <w:szCs w:val="16"/>
              </w:rPr>
            </w:pPr>
            <w:r w:rsidRPr="003D6B19">
              <w:rPr>
                <w:sz w:val="16"/>
                <w:szCs w:val="16"/>
              </w:rPr>
              <w:t>x</w:t>
            </w:r>
          </w:p>
        </w:tc>
        <w:tc>
          <w:tcPr>
            <w:tcW w:w="1358" w:type="dxa"/>
            <w:tcBorders>
              <w:top w:val="single" w:sz="4" w:space="0" w:color="auto"/>
            </w:tcBorders>
          </w:tcPr>
          <w:p w14:paraId="52A6F61C" w14:textId="77777777" w:rsidR="0098116E" w:rsidRPr="003D6B19" w:rsidRDefault="0098116E" w:rsidP="000866DA">
            <w:pPr>
              <w:jc w:val="center"/>
              <w:rPr>
                <w:sz w:val="16"/>
                <w:szCs w:val="16"/>
              </w:rPr>
            </w:pPr>
            <w:r w:rsidRPr="003D6B19">
              <w:rPr>
                <w:sz w:val="16"/>
                <w:szCs w:val="16"/>
              </w:rPr>
              <w:t>10</w:t>
            </w:r>
          </w:p>
        </w:tc>
        <w:tc>
          <w:tcPr>
            <w:tcW w:w="1350" w:type="dxa"/>
            <w:tcBorders>
              <w:top w:val="single" w:sz="4" w:space="0" w:color="auto"/>
            </w:tcBorders>
          </w:tcPr>
          <w:p w14:paraId="6A3C619E" w14:textId="77777777" w:rsidR="0098116E" w:rsidRPr="003D6B19" w:rsidRDefault="0098116E" w:rsidP="000866DA">
            <w:pPr>
              <w:ind w:right="280"/>
              <w:jc w:val="right"/>
              <w:rPr>
                <w:sz w:val="16"/>
                <w:szCs w:val="16"/>
              </w:rPr>
            </w:pPr>
            <w:r w:rsidRPr="003D6B19">
              <w:rPr>
                <w:sz w:val="16"/>
                <w:szCs w:val="16"/>
              </w:rPr>
              <w:t>8.6</w:t>
            </w:r>
          </w:p>
        </w:tc>
      </w:tr>
      <w:tr w:rsidR="0098116E" w:rsidRPr="003D6B19" w14:paraId="39710843" w14:textId="77777777" w:rsidTr="000866DA">
        <w:trPr>
          <w:jc w:val="center"/>
        </w:trPr>
        <w:tc>
          <w:tcPr>
            <w:tcW w:w="1124" w:type="dxa"/>
          </w:tcPr>
          <w:p w14:paraId="41F6AC7A" w14:textId="77777777" w:rsidR="0098116E" w:rsidRPr="003D6B19" w:rsidRDefault="0098116E" w:rsidP="000866DA">
            <w:pPr>
              <w:jc w:val="center"/>
              <w:rPr>
                <w:sz w:val="16"/>
                <w:szCs w:val="16"/>
              </w:rPr>
            </w:pPr>
            <w:r w:rsidRPr="003D6B19">
              <w:rPr>
                <w:sz w:val="16"/>
                <w:szCs w:val="16"/>
              </w:rPr>
              <w:t>y</w:t>
            </w:r>
          </w:p>
        </w:tc>
        <w:tc>
          <w:tcPr>
            <w:tcW w:w="1358" w:type="dxa"/>
          </w:tcPr>
          <w:p w14:paraId="2F438EF3" w14:textId="77777777" w:rsidR="0098116E" w:rsidRPr="003D6B19" w:rsidRDefault="0098116E" w:rsidP="000866DA">
            <w:pPr>
              <w:jc w:val="center"/>
              <w:rPr>
                <w:sz w:val="16"/>
                <w:szCs w:val="16"/>
              </w:rPr>
            </w:pPr>
            <w:r w:rsidRPr="003D6B19">
              <w:rPr>
                <w:sz w:val="16"/>
                <w:szCs w:val="16"/>
              </w:rPr>
              <w:t>15</w:t>
            </w:r>
          </w:p>
        </w:tc>
        <w:tc>
          <w:tcPr>
            <w:tcW w:w="1350" w:type="dxa"/>
          </w:tcPr>
          <w:p w14:paraId="4DCFD6D2" w14:textId="77777777" w:rsidR="0098116E" w:rsidRPr="003D6B19" w:rsidRDefault="0098116E" w:rsidP="000866DA">
            <w:pPr>
              <w:ind w:right="280"/>
              <w:jc w:val="right"/>
              <w:rPr>
                <w:sz w:val="16"/>
                <w:szCs w:val="16"/>
              </w:rPr>
            </w:pPr>
            <w:r w:rsidRPr="003D6B19">
              <w:rPr>
                <w:sz w:val="16"/>
                <w:szCs w:val="16"/>
              </w:rPr>
              <w:t>12.4</w:t>
            </w:r>
          </w:p>
        </w:tc>
      </w:tr>
      <w:tr w:rsidR="0098116E" w:rsidRPr="003D6B19" w14:paraId="77C76AE4" w14:textId="77777777" w:rsidTr="000866DA">
        <w:trPr>
          <w:jc w:val="center"/>
        </w:trPr>
        <w:tc>
          <w:tcPr>
            <w:tcW w:w="1124" w:type="dxa"/>
            <w:tcBorders>
              <w:bottom w:val="single" w:sz="4" w:space="0" w:color="auto"/>
            </w:tcBorders>
          </w:tcPr>
          <w:p w14:paraId="4056C13D" w14:textId="77777777" w:rsidR="0098116E" w:rsidRPr="003D6B19" w:rsidRDefault="0098116E" w:rsidP="000866DA">
            <w:pPr>
              <w:jc w:val="center"/>
              <w:rPr>
                <w:sz w:val="16"/>
                <w:szCs w:val="16"/>
              </w:rPr>
            </w:pPr>
            <w:r w:rsidRPr="003D6B19">
              <w:rPr>
                <w:sz w:val="16"/>
                <w:szCs w:val="16"/>
              </w:rPr>
              <w:t>z</w:t>
            </w:r>
          </w:p>
        </w:tc>
        <w:tc>
          <w:tcPr>
            <w:tcW w:w="1358" w:type="dxa"/>
            <w:tcBorders>
              <w:bottom w:val="single" w:sz="4" w:space="0" w:color="auto"/>
            </w:tcBorders>
          </w:tcPr>
          <w:p w14:paraId="5B402543" w14:textId="77777777" w:rsidR="0098116E" w:rsidRPr="003D6B19" w:rsidRDefault="0098116E" w:rsidP="000866DA">
            <w:pPr>
              <w:jc w:val="center"/>
              <w:rPr>
                <w:sz w:val="16"/>
                <w:szCs w:val="16"/>
              </w:rPr>
            </w:pPr>
            <w:r w:rsidRPr="003D6B19">
              <w:rPr>
                <w:sz w:val="16"/>
                <w:szCs w:val="16"/>
              </w:rPr>
              <w:t>20</w:t>
            </w:r>
          </w:p>
        </w:tc>
        <w:tc>
          <w:tcPr>
            <w:tcW w:w="1350" w:type="dxa"/>
            <w:tcBorders>
              <w:bottom w:val="single" w:sz="4" w:space="0" w:color="auto"/>
            </w:tcBorders>
          </w:tcPr>
          <w:p w14:paraId="46E26EF4" w14:textId="77777777" w:rsidR="0098116E" w:rsidRPr="003D6B19" w:rsidRDefault="0098116E" w:rsidP="000866DA">
            <w:pPr>
              <w:ind w:right="280"/>
              <w:jc w:val="right"/>
              <w:rPr>
                <w:sz w:val="16"/>
                <w:szCs w:val="16"/>
              </w:rPr>
            </w:pPr>
            <w:r w:rsidRPr="003D6B19">
              <w:rPr>
                <w:sz w:val="16"/>
                <w:szCs w:val="16"/>
              </w:rPr>
              <w:t>15.3</w:t>
            </w:r>
          </w:p>
        </w:tc>
      </w:tr>
    </w:tbl>
    <w:p w14:paraId="0FF08ABA" w14:textId="77777777" w:rsidR="0098116E" w:rsidRPr="003D6B19" w:rsidRDefault="0098116E" w:rsidP="00354A58">
      <w:pPr>
        <w:jc w:val="center"/>
        <w:rPr>
          <w:b/>
          <w:bCs/>
        </w:rPr>
      </w:pPr>
    </w:p>
    <w:bookmarkEnd w:id="7"/>
    <w:p w14:paraId="00244041" w14:textId="77777777" w:rsidR="00354A58" w:rsidRPr="003D6B19" w:rsidRDefault="00354A58" w:rsidP="00354A58">
      <w:pPr>
        <w:tabs>
          <w:tab w:val="left" w:pos="426"/>
        </w:tabs>
        <w:ind w:left="426"/>
        <w:rPr>
          <w:b/>
          <w:bCs/>
          <w:lang w:val="id-ID"/>
        </w:rPr>
      </w:pPr>
    </w:p>
    <w:p w14:paraId="3527101A" w14:textId="77777777" w:rsidR="0098116E" w:rsidRPr="004622D4" w:rsidRDefault="0098116E" w:rsidP="0098116E">
      <w:pPr>
        <w:jc w:val="center"/>
      </w:pPr>
      <w:r w:rsidRPr="00CE759E">
        <w:rPr>
          <w:noProof/>
        </w:rPr>
        <w:drawing>
          <wp:inline distT="0" distB="0" distL="0" distR="0" wp14:anchorId="2DA421C2" wp14:editId="15A2621E">
            <wp:extent cx="4124325" cy="2114550"/>
            <wp:effectExtent l="19050" t="19050" r="28575"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1">
                      <a:extLst>
                        <a:ext uri="{28A0092B-C50C-407E-A947-70E740481C1C}">
                          <a14:useLocalDpi xmlns:a14="http://schemas.microsoft.com/office/drawing/2010/main" val="0"/>
                        </a:ext>
                      </a:extLst>
                    </a:blip>
                    <a:srcRect l="2678" t="3680" r="1785" b="6136"/>
                    <a:stretch>
                      <a:fillRect/>
                    </a:stretch>
                  </pic:blipFill>
                  <pic:spPr bwMode="auto">
                    <a:xfrm>
                      <a:off x="0" y="0"/>
                      <a:ext cx="4124325" cy="2114550"/>
                    </a:xfrm>
                    <a:prstGeom prst="rect">
                      <a:avLst/>
                    </a:prstGeom>
                    <a:noFill/>
                    <a:ln w="9525" cmpd="sng">
                      <a:solidFill>
                        <a:srgbClr val="A6A6A6"/>
                      </a:solidFill>
                      <a:miter lim="800000"/>
                      <a:headEnd/>
                      <a:tailEnd/>
                    </a:ln>
                    <a:effectLst/>
                  </pic:spPr>
                </pic:pic>
              </a:graphicData>
            </a:graphic>
          </wp:inline>
        </w:drawing>
      </w:r>
    </w:p>
    <w:p w14:paraId="36A17848" w14:textId="77777777" w:rsidR="0098116E" w:rsidRPr="004622D4" w:rsidRDefault="0098116E" w:rsidP="0098116E">
      <w:pPr>
        <w:jc w:val="center"/>
        <w:rPr>
          <w:iCs/>
        </w:rPr>
      </w:pPr>
      <w:r>
        <w:rPr>
          <w:iCs/>
        </w:rPr>
        <w:t>(a)</w:t>
      </w:r>
    </w:p>
    <w:p w14:paraId="6B903CE4" w14:textId="77777777" w:rsidR="0098116E" w:rsidRPr="00773306" w:rsidRDefault="0098116E" w:rsidP="0098116E">
      <w:pPr>
        <w:ind w:firstLine="720"/>
        <w:jc w:val="both"/>
        <w:rPr>
          <w:iCs/>
        </w:rPr>
      </w:pPr>
    </w:p>
    <w:p w14:paraId="177CF5C2" w14:textId="77777777" w:rsidR="0098116E" w:rsidRDefault="0098116E" w:rsidP="0098116E">
      <w:pPr>
        <w:jc w:val="center"/>
        <w:rPr>
          <w:iCs/>
        </w:rPr>
      </w:pPr>
      <w:r w:rsidRPr="00CE759E">
        <w:rPr>
          <w:noProof/>
        </w:rPr>
        <w:drawing>
          <wp:inline distT="0" distB="0" distL="0" distR="0" wp14:anchorId="4FA8875C" wp14:editId="134FB45D">
            <wp:extent cx="4152900" cy="1943100"/>
            <wp:effectExtent l="19050" t="19050" r="19050" b="1905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rrowheads="1"/>
                    </pic:cNvPicPr>
                  </pic:nvPicPr>
                  <pic:blipFill>
                    <a:blip r:embed="rId12">
                      <a:extLst>
                        <a:ext uri="{28A0092B-C50C-407E-A947-70E740481C1C}">
                          <a14:useLocalDpi xmlns:a14="http://schemas.microsoft.com/office/drawing/2010/main" val="0"/>
                        </a:ext>
                      </a:extLst>
                    </a:blip>
                    <a:srcRect l="3215" t="3552" r="1706" b="5328"/>
                    <a:stretch>
                      <a:fillRect/>
                    </a:stretch>
                  </pic:blipFill>
                  <pic:spPr bwMode="auto">
                    <a:xfrm>
                      <a:off x="0" y="0"/>
                      <a:ext cx="4152900" cy="1943100"/>
                    </a:xfrm>
                    <a:prstGeom prst="rect">
                      <a:avLst/>
                    </a:prstGeom>
                    <a:noFill/>
                    <a:ln w="9525" cmpd="sng">
                      <a:solidFill>
                        <a:srgbClr val="A6A6A6"/>
                      </a:solidFill>
                      <a:miter lim="800000"/>
                      <a:headEnd/>
                      <a:tailEnd/>
                    </a:ln>
                    <a:effectLst/>
                  </pic:spPr>
                </pic:pic>
              </a:graphicData>
            </a:graphic>
          </wp:inline>
        </w:drawing>
      </w:r>
    </w:p>
    <w:p w14:paraId="345D055F" w14:textId="72079C71" w:rsidR="00354A58" w:rsidRDefault="0098116E" w:rsidP="0098116E">
      <w:pPr>
        <w:jc w:val="center"/>
        <w:rPr>
          <w:iCs/>
        </w:rPr>
      </w:pPr>
      <w:r>
        <w:rPr>
          <w:iCs/>
        </w:rPr>
        <w:t>(b)</w:t>
      </w:r>
    </w:p>
    <w:p w14:paraId="2909818E" w14:textId="3DC865F1" w:rsidR="0098116E" w:rsidRDefault="0098116E" w:rsidP="0098116E">
      <w:pPr>
        <w:jc w:val="center"/>
        <w:rPr>
          <w:iCs/>
        </w:rPr>
      </w:pPr>
    </w:p>
    <w:p w14:paraId="4BFBA970" w14:textId="1820A635" w:rsidR="0098116E" w:rsidRDefault="0098116E" w:rsidP="0098116E">
      <w:pPr>
        <w:jc w:val="center"/>
        <w:rPr>
          <w:iCs/>
        </w:rPr>
      </w:pPr>
      <w:r w:rsidRPr="004622D4">
        <w:rPr>
          <w:iCs/>
        </w:rPr>
        <w:t xml:space="preserve">Figure </w:t>
      </w:r>
      <w:r>
        <w:rPr>
          <w:iCs/>
        </w:rPr>
        <w:t>2</w:t>
      </w:r>
      <w:r w:rsidRPr="004622D4">
        <w:rPr>
          <w:iCs/>
        </w:rPr>
        <w:t xml:space="preserve">. Nodes energy consumption in network </w:t>
      </w:r>
      <w:r>
        <w:rPr>
          <w:iCs/>
        </w:rPr>
        <w:t>(a)</w:t>
      </w:r>
      <w:r w:rsidRPr="004622D4">
        <w:rPr>
          <w:iCs/>
        </w:rPr>
        <w:t xml:space="preserve"> OHCRP (50% DSr) vs SPEED</w:t>
      </w:r>
      <w:r>
        <w:rPr>
          <w:iCs/>
        </w:rPr>
        <w:t xml:space="preserve"> and </w:t>
      </w:r>
      <w:r>
        <w:rPr>
          <w:iCs/>
        </w:rPr>
        <w:br/>
        <w:t xml:space="preserve">(b) </w:t>
      </w:r>
      <w:r w:rsidRPr="004622D4">
        <w:rPr>
          <w:iCs/>
        </w:rPr>
        <w:t>OHCRP (50% DSr) vs THVR</w:t>
      </w:r>
    </w:p>
    <w:p w14:paraId="5397B654" w14:textId="3B378430" w:rsidR="0098116E" w:rsidRDefault="0098116E" w:rsidP="0098116E">
      <w:pPr>
        <w:jc w:val="center"/>
        <w:rPr>
          <w:iCs/>
        </w:rPr>
      </w:pPr>
    </w:p>
    <w:p w14:paraId="5BD70844" w14:textId="77777777" w:rsidR="0098116E" w:rsidRPr="003D6B19" w:rsidRDefault="0098116E" w:rsidP="0098116E">
      <w:pPr>
        <w:jc w:val="center"/>
        <w:rPr>
          <w:lang w:val="id-ID"/>
        </w:rPr>
      </w:pPr>
    </w:p>
    <w:bookmarkEnd w:id="5"/>
    <w:p w14:paraId="52F942E6"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3F885236" w14:textId="132A1978" w:rsidR="00E619D6" w:rsidRPr="003D6B19" w:rsidRDefault="00E619D6" w:rsidP="00E619D6">
      <w:pPr>
        <w:ind w:firstLine="720"/>
        <w:jc w:val="both"/>
        <w:rPr>
          <w:lang w:val="id-ID"/>
        </w:rPr>
      </w:pPr>
      <w:r w:rsidRPr="003D6B19">
        <w:rPr>
          <w:lang w:val="id-ID"/>
        </w:rPr>
        <w:t xml:space="preserve">In </w:t>
      </w:r>
      <w:r w:rsidR="00354A58" w:rsidRPr="003D6B19">
        <w:rPr>
          <w:lang w:val="id-ID"/>
        </w:rPr>
        <w:t xml:space="preserve">this section, it is explained the results of research and at the same time is given </w:t>
      </w:r>
      <w:r w:rsidR="00354A58" w:rsidRPr="003D6B19">
        <w:rPr>
          <w:lang w:val="id-ID"/>
        </w:rPr>
        <w:br/>
        <w:t xml:space="preserve">the comprehensive discussion. Results can be presented in figures, graphs, tables and others that make </w:t>
      </w:r>
      <w:r w:rsidR="00354A58" w:rsidRPr="003D6B19">
        <w:rPr>
          <w:lang w:val="id-ID"/>
        </w:rPr>
        <w:br/>
        <w:t>the reader understand easily</w:t>
      </w:r>
      <w:r w:rsidR="00354A58" w:rsidRPr="003D6B19">
        <w:t xml:space="preserve"> </w:t>
      </w:r>
      <w:r w:rsidR="00354A58" w:rsidRPr="003D6B19">
        <w:fldChar w:fldCharType="begin" w:fldLock="1"/>
      </w:r>
      <w:r w:rsidR="00354A58" w:rsidRPr="003D6B19">
        <w:instrText>ADDIN CSL_CITATION {"citationItems":[{"id":"ITEM-1","itemData":{"DOI":"10.1177/2053951718820549","ISSN":"20539517","abstract":"The collection and circulation of data is now a central element of increasingly more sectors of contemporary capitalism. This article analyses data as a form of capital that is distinct from, but has its roots in, economic capital. Data collection is driven by the perpetual cycle of capital accumulation, which in turn drives capital to construct and rely upon a universe in which everything is made of data. The imperative to capture all data, from all sources, by any means possible influences many key decisions about business models, political governance, and technological development. This article argues that many common practices of data accumulation should actually be understood in terms of data extraction, wherein data is taken with little regard for consent and compensation. By understanding data as a form capital, we can better analyse the meaning, practices, and implications of datafication as a political economic regime.","author":[{"dropping-particle":"","family":"Sadowski","given":"Jathan","non-dropping-particle":"","parse-names":false,"suffix":""}],"container-title":"Big Data and Society","id":"ITEM-1","issue":"1","issued":{"date-parts":[["2019"]]},"page":"1-12","title":"When data is capital: Datafication, accumulation, and extraction","type":"article-journal","volume":"6"},"uris":["http://www.mendeley.com/documents/?uuid=68c1212d-4bd1-42ff-b4ea-3108c9b096d6"]},{"id":"ITEM-2","itemData":{"DOI":"10.1109/ACCESS.2019.2905301","ISSN":"21693536","abstract":"Although large amounts of data are now available to companies, mere possession of these data is not sufficient, and for better business decisions, it is necessary to perform thorough data analysis. Nowadays, social networks services (SNS) have become important data sources. The rapid growth of SNS has led to their wide use in various research trends in social sciences. In this paper, we aim to enhance the current understanding of the possibilities offered by social data for brand communication analysis in the financial sector. To this end, a traditional methodology and a digital methodology are used to investigate the brand image of the financial entities. The traditional methodology is the Periodic Evaluation of the Image (PEI). The digital methodology is sentiment analysis, a machine learning technique for big data analytics in social sciences using an algorithm developed in Python. The data are analyzed using both methodologies, and then, their results are compared. The findings suggest that while the results obtained using the method based on big data are consistent with the results obtained with the traditional methodology, the former method allows for easier and faster data analysis. The limitations of this paper relate to the size of the sample, the studied sector, and the scope of the reviewed literature.","author":[{"dropping-particle":"","family":"Saura","given":"Jose Ramon","non-dropping-particle":"","parse-names":false,"suffix":""},{"dropping-particle":"","family":"Herraez","given":"Beatriz Rodriguez","non-dropping-particle":"","parse-names":false,"suffix":""},{"dropping-particle":"","family":"Reyes-Menendez","given":"Ana","non-dropping-particle":"","parse-names":false,"suffix":""}],"container-title":"IEEE Access","id":"ITEM-2","issued":{"date-parts":[["2019"]]},"page":"37100-37108","title":"Comparing a traditional approach for financial brand communication analysis with a big data analytics technique","type":"article-journal","volume":"7"},"uris":["http://www.mendeley.com/documents/?uuid=90933663-e9f5-408f-bea9-1e10797ad61d"]}],"mendeley":{"formattedCitation":"[14], [15]","plainTextFormattedCitation":"[14], [15]","previouslyFormattedCitation":"[14], [15]"},"properties":{"noteIndex":0},"schema":"https://github.com/citation-style-language/schema/raw/master/csl-citation.json"}</w:instrText>
      </w:r>
      <w:r w:rsidR="00354A58" w:rsidRPr="003D6B19">
        <w:fldChar w:fldCharType="separate"/>
      </w:r>
      <w:r w:rsidR="00354A58" w:rsidRPr="003D6B19">
        <w:rPr>
          <w:noProof/>
        </w:rPr>
        <w:t>[14], [15]</w:t>
      </w:r>
      <w:r w:rsidR="00354A58" w:rsidRPr="003D6B19">
        <w:fldChar w:fldCharType="end"/>
      </w:r>
      <w:r w:rsidR="00354A58" w:rsidRPr="003D6B19">
        <w:rPr>
          <w:lang w:val="id-ID"/>
        </w:rPr>
        <w:t xml:space="preserve">. The discussion can be made in several </w:t>
      </w:r>
      <w:bookmarkStart w:id="8" w:name="_Hlk78354443"/>
      <w:r w:rsidR="00354A58" w:rsidRPr="003D6B19">
        <w:rPr>
          <w:lang w:val="id-ID"/>
        </w:rPr>
        <w:t>sub-</w:t>
      </w:r>
      <w:r w:rsidR="00354A58" w:rsidRPr="003D6B19">
        <w:t>sections</w:t>
      </w:r>
      <w:r w:rsidR="00354A58" w:rsidRPr="003D6B19">
        <w:rPr>
          <w:lang w:val="id-ID"/>
        </w:rPr>
        <w:t>.</w:t>
      </w:r>
      <w:bookmarkEnd w:id="8"/>
    </w:p>
    <w:p w14:paraId="6BC6C798" w14:textId="77777777" w:rsidR="00E619D6" w:rsidRPr="003D6B19" w:rsidRDefault="00E619D6" w:rsidP="00E619D6">
      <w:pPr>
        <w:ind w:firstLine="720"/>
        <w:jc w:val="both"/>
        <w:rPr>
          <w:lang w:val="id-ID"/>
        </w:rPr>
      </w:pPr>
    </w:p>
    <w:p w14:paraId="43E3F43A" w14:textId="77777777" w:rsidR="00E619D6" w:rsidRPr="003D6B19" w:rsidRDefault="00E619D6" w:rsidP="00E619D6">
      <w:pPr>
        <w:rPr>
          <w:b/>
          <w:bCs/>
          <w:lang w:val="id-ID"/>
        </w:rPr>
      </w:pPr>
      <w:r w:rsidRPr="003D6B19">
        <w:rPr>
          <w:b/>
          <w:bCs/>
          <w:lang w:val="id-ID"/>
        </w:rPr>
        <w:t xml:space="preserve">3.1. </w:t>
      </w:r>
      <w:r w:rsidRPr="003D6B19">
        <w:rPr>
          <w:b/>
          <w:bCs/>
        </w:rPr>
        <w:t xml:space="preserve"> </w:t>
      </w:r>
      <w:r w:rsidRPr="003D6B19">
        <w:rPr>
          <w:b/>
          <w:bCs/>
          <w:lang w:val="id-ID"/>
        </w:rPr>
        <w:t xml:space="preserve">Sub </w:t>
      </w:r>
      <w:r w:rsidRPr="003D6B19">
        <w:rPr>
          <w:b/>
          <w:bCs/>
        </w:rPr>
        <w:t>section</w:t>
      </w:r>
      <w:r w:rsidRPr="003D6B19">
        <w:rPr>
          <w:b/>
          <w:bCs/>
          <w:lang w:val="id-ID"/>
        </w:rPr>
        <w:t xml:space="preserve"> 1</w:t>
      </w:r>
    </w:p>
    <w:p w14:paraId="1B1D1F07" w14:textId="77777777" w:rsidR="00E619D6" w:rsidRPr="003D6B19" w:rsidRDefault="00E619D6" w:rsidP="00E619D6">
      <w:pPr>
        <w:ind w:firstLine="709"/>
        <w:jc w:val="both"/>
        <w:rPr>
          <w:bCs/>
          <w:lang w:val="id-ID"/>
        </w:rPr>
      </w:pPr>
      <w:bookmarkStart w:id="9" w:name="_Hlk79140867"/>
      <w:r w:rsidRPr="003D6B19">
        <w:rPr>
          <w:lang w:val="id-ID"/>
        </w:rPr>
        <w:t>Equations</w:t>
      </w:r>
      <w:r w:rsidRPr="003D6B19">
        <w:rPr>
          <w:bCs/>
          <w:lang w:val="id-ID"/>
        </w:rPr>
        <w:t xml:space="preserve"> should be placed at the center of the line and provided consecutively with equation numbers</w:t>
      </w:r>
      <w:r w:rsidRPr="003D6B19">
        <w:rPr>
          <w:bCs/>
        </w:rPr>
        <w:t xml:space="preserve"> </w:t>
      </w:r>
      <w:r w:rsidRPr="003D6B19">
        <w:rPr>
          <w:bCs/>
          <w:lang w:val="id-ID"/>
        </w:rPr>
        <w:t xml:space="preserve">in </w:t>
      </w:r>
      <w:r w:rsidRPr="003D6B19">
        <w:rPr>
          <w:lang w:val="id-ID"/>
        </w:rPr>
        <w:t>parentheses</w:t>
      </w:r>
      <w:r w:rsidRPr="003D6B19">
        <w:rPr>
          <w:bCs/>
          <w:lang w:val="id-ID"/>
        </w:rPr>
        <w:t xml:space="preserve"> flushed to the right margin, as in (1). The use of Microsoft Equation Editor or MathType is</w:t>
      </w:r>
      <w:r w:rsidRPr="003D6B19">
        <w:rPr>
          <w:bCs/>
        </w:rPr>
        <w:t xml:space="preserve"> </w:t>
      </w:r>
      <w:r w:rsidRPr="003D6B19">
        <w:rPr>
          <w:bCs/>
          <w:lang w:val="id-ID"/>
        </w:rPr>
        <w:t>preferred.</w:t>
      </w:r>
      <w:bookmarkStart w:id="10" w:name="_Hlk79141485"/>
    </w:p>
    <w:p w14:paraId="473C0DBC" w14:textId="77777777" w:rsidR="00E619D6" w:rsidRPr="003D6B19" w:rsidRDefault="00E619D6" w:rsidP="00E619D6">
      <w:pPr>
        <w:rPr>
          <w:bCs/>
          <w:lang w:val="id-ID"/>
        </w:rPr>
      </w:pPr>
    </w:p>
    <w:p w14:paraId="6A8C919A" w14:textId="0F6A48CC" w:rsidR="004F4003" w:rsidRPr="004F4003" w:rsidRDefault="005F29D1" w:rsidP="004F4003">
      <w:pPr>
        <w:tabs>
          <w:tab w:val="right" w:pos="8505"/>
        </w:tabs>
        <w:ind w:firstLine="709"/>
        <w:rPr>
          <w:bCs/>
        </w:rPr>
      </w:pPr>
      <m:oMath>
        <m:sSub>
          <m:sSubPr>
            <m:ctrlPr>
              <w:rPr>
                <w:rFonts w:ascii="Cambria Math" w:hAnsi="Cambria Math"/>
                <w:bCs/>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bCs/>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E619D6" w:rsidRPr="003D6B19">
        <w:rPr>
          <w:bCs/>
        </w:rPr>
        <w:t>)</w:t>
      </w:r>
      <w:r w:rsidR="00E619D6" w:rsidRPr="003D6B19">
        <w:rPr>
          <w:bCs/>
        </w:rPr>
        <w:tab/>
      </w:r>
      <w:r w:rsidR="00E619D6" w:rsidRPr="00735BBC">
        <w:rPr>
          <w:bCs/>
        </w:rPr>
        <w:t>(1)</w:t>
      </w:r>
    </w:p>
    <w:p w14:paraId="053DC32B" w14:textId="77777777" w:rsidR="00E619D6" w:rsidRPr="003D6B19" w:rsidRDefault="00E619D6" w:rsidP="00E619D6">
      <w:pPr>
        <w:rPr>
          <w:bCs/>
          <w:lang w:val="id-ID"/>
        </w:rPr>
      </w:pPr>
    </w:p>
    <w:p w14:paraId="2D74FFB2" w14:textId="609F99FC" w:rsidR="00E619D6" w:rsidRPr="003D6B19" w:rsidRDefault="00E619D6" w:rsidP="00E619D6">
      <w:pPr>
        <w:rPr>
          <w:bCs/>
          <w:lang w:val="id-ID"/>
        </w:rPr>
      </w:pPr>
      <w:r w:rsidRPr="00735BBC">
        <w:rPr>
          <w:bCs/>
          <w:lang w:val="id-ID"/>
        </w:rPr>
        <w:t>All symbols that</w:t>
      </w:r>
      <w:r w:rsidRPr="003D6B19">
        <w:rPr>
          <w:bCs/>
          <w:lang w:val="id-ID"/>
        </w:rPr>
        <w:t xml:space="preserve"> have</w:t>
      </w:r>
      <w:r w:rsidR="000F703D">
        <w:rPr>
          <w:bCs/>
        </w:rPr>
        <w:t xml:space="preserve"> been</w:t>
      </w:r>
      <w:r w:rsidRPr="003D6B19">
        <w:rPr>
          <w:bCs/>
          <w:lang w:val="id-ID"/>
        </w:rPr>
        <w:t xml:space="preserve"> </w:t>
      </w:r>
      <w:r w:rsidR="000F703D">
        <w:rPr>
          <w:bCs/>
        </w:rPr>
        <w:t>used in the</w:t>
      </w:r>
      <w:r w:rsidRPr="003D6B19">
        <w:rPr>
          <w:bCs/>
          <w:lang w:val="id-ID"/>
        </w:rPr>
        <w:t xml:space="preserve"> equation</w:t>
      </w:r>
      <w:r w:rsidR="000F703D">
        <w:rPr>
          <w:bCs/>
        </w:rPr>
        <w:t>s</w:t>
      </w:r>
      <w:r w:rsidRPr="003D6B19">
        <w:rPr>
          <w:bCs/>
          <w:lang w:val="id-ID"/>
        </w:rPr>
        <w:t xml:space="preserve"> should be </w:t>
      </w:r>
      <w:r w:rsidR="000F703D">
        <w:rPr>
          <w:bCs/>
        </w:rPr>
        <w:t xml:space="preserve">defined </w:t>
      </w:r>
      <w:r w:rsidRPr="003D6B19">
        <w:rPr>
          <w:bCs/>
          <w:lang w:val="id-ID"/>
        </w:rPr>
        <w:t>in the following text.</w:t>
      </w:r>
    </w:p>
    <w:bookmarkEnd w:id="9"/>
    <w:bookmarkEnd w:id="10"/>
    <w:p w14:paraId="7C82168B" w14:textId="77777777" w:rsidR="00E619D6" w:rsidRPr="003D6B19" w:rsidRDefault="00E619D6" w:rsidP="00E619D6">
      <w:pPr>
        <w:rPr>
          <w:b/>
          <w:bCs/>
          <w:lang w:val="id-ID"/>
        </w:rPr>
      </w:pPr>
    </w:p>
    <w:p w14:paraId="25A7CC42" w14:textId="77777777" w:rsidR="00E619D6" w:rsidRPr="003D6B19" w:rsidRDefault="00E619D6" w:rsidP="00E619D6">
      <w:pPr>
        <w:rPr>
          <w:b/>
          <w:bCs/>
          <w:lang w:val="id-ID"/>
        </w:rPr>
      </w:pPr>
      <w:r w:rsidRPr="003D6B19">
        <w:rPr>
          <w:b/>
          <w:bCs/>
          <w:lang w:val="id-ID"/>
        </w:rPr>
        <w:t xml:space="preserve">3.2. </w:t>
      </w:r>
      <w:r w:rsidRPr="003D6B19">
        <w:rPr>
          <w:b/>
          <w:bCs/>
        </w:rPr>
        <w:t xml:space="preserve"> </w:t>
      </w:r>
      <w:r w:rsidRPr="003D6B19">
        <w:rPr>
          <w:b/>
          <w:bCs/>
          <w:lang w:val="id-ID"/>
        </w:rPr>
        <w:t xml:space="preserve">Sub </w:t>
      </w:r>
      <w:r w:rsidRPr="003D6B19">
        <w:rPr>
          <w:b/>
          <w:bCs/>
        </w:rPr>
        <w:t>section</w:t>
      </w:r>
      <w:r w:rsidRPr="003D6B19">
        <w:rPr>
          <w:b/>
          <w:bCs/>
          <w:lang w:val="id-ID"/>
        </w:rPr>
        <w:t xml:space="preserve"> 2</w:t>
      </w:r>
    </w:p>
    <w:p w14:paraId="3153B9E6" w14:textId="48F3D870" w:rsidR="00E619D6" w:rsidRPr="003D6B19" w:rsidRDefault="00E619D6" w:rsidP="00E619D6">
      <w:pPr>
        <w:ind w:firstLine="709"/>
        <w:jc w:val="both"/>
        <w:rPr>
          <w:bCs/>
          <w:lang w:val="id-ID"/>
        </w:rPr>
      </w:pPr>
      <w:r w:rsidRPr="003D6B19">
        <w:rPr>
          <w:bCs/>
          <w:lang w:val="id-ID"/>
        </w:rPr>
        <w:t>Proper citation of other works should be made to avoid plagiarism. When referring to a reference</w:t>
      </w:r>
      <w:r w:rsidRPr="003D6B19">
        <w:rPr>
          <w:bCs/>
        </w:rPr>
        <w:t xml:space="preserve"> </w:t>
      </w:r>
      <w:r w:rsidRPr="003D6B19">
        <w:rPr>
          <w:bCs/>
          <w:lang w:val="id-ID"/>
        </w:rPr>
        <w:t xml:space="preserve">item, please use the reference number as in </w:t>
      </w:r>
      <w:r w:rsidRPr="003D6B19">
        <w:rPr>
          <w:bCs/>
          <w:lang w:val="id-ID"/>
        </w:rPr>
        <w:fldChar w:fldCharType="begin" w:fldLock="1"/>
      </w:r>
      <w:r w:rsidRPr="003D6B19">
        <w:rPr>
          <w:bCs/>
          <w:lang w:val="id-ID"/>
        </w:rPr>
        <w:instrText>ADDIN CSL_CITATION {"citationItems":[{"id":"ITEM-1","itemData":{"DOI":"10.1109/TITS.2019.2924883","ISSN":"15580016","abstract":"The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author":[{"dropping-particle":"","family":"Nallaperuma","given":"Dinithi","non-dropping-particle":"","parse-names":false,"suffix":""},{"dropping-particle":"","family":"Nawaratne","given":"Rashmika","non-dropping-particle":"","parse-names":false,"suffix":""},{"dropping-particle":"","family":"Bandaragoda","given":"Tharindu","non-dropping-particle":"","parse-names":false,"suffix":""},{"dropping-particle":"","family":"Adikari","given":"Achini","non-dropping-particle":"","parse-names":false,"suffix":""},{"dropping-particle":"","family":"Nguyen","given":"Su","non-dropping-particle":"","parse-names":false,"suffix":""},{"dropping-particle":"","family":"Kempitiya","given":"Thimal","non-dropping-particle":"","parse-names":false,"suffix":""},{"dropping-particle":"","family":"Silva","given":"Daswin","non-dropping-particle":"De","parse-names":false,"suffix":""},{"dropping-particle":"","family":"Alahakoon","given":"Damminda","non-dropping-particle":"","parse-names":false,"suffix":""},{"dropping-particle":"","family":"Pothuhera","given":"Dakshan","non-dropping-particle":"","parse-names":false,"suffix":""}],"container-title":"IEEE Transactions on Intelligent Transportation Systems","id":"ITEM-1","issue":"12","issued":{"date-parts":[["2019"]]},"page":"4679-4690","publisher":"IEEE","title":"Online Incremental Machine Learning Platform for Big Data-Driven Smart Traffic Management","type":"article-journal","volume":"20"},"uris":["http://www.mendeley.com/documents/?uuid=84011880-07e5-4d16-88ef-4a381d84498a"]}],"mendeley":{"formattedCitation":"[16]","plainTextFormattedCitation":"[16]","previouslyFormattedCitation":"[16]"},"properties":{"noteIndex":0},"schema":"https://github.com/citation-style-language/schema/raw/master/csl-citation.json"}</w:instrText>
      </w:r>
      <w:r w:rsidRPr="003D6B19">
        <w:rPr>
          <w:bCs/>
          <w:lang w:val="id-ID"/>
        </w:rPr>
        <w:fldChar w:fldCharType="separate"/>
      </w:r>
      <w:r w:rsidRPr="003D6B19">
        <w:rPr>
          <w:bCs/>
          <w:noProof/>
          <w:lang w:val="id-ID"/>
        </w:rPr>
        <w:t>[16]</w:t>
      </w:r>
      <w:r w:rsidRPr="003D6B19">
        <w:rPr>
          <w:bCs/>
          <w:lang w:val="id-ID"/>
        </w:rPr>
        <w:fldChar w:fldCharType="end"/>
      </w:r>
      <w:r w:rsidRPr="003D6B19">
        <w:rPr>
          <w:bCs/>
          <w:lang w:val="id-ID"/>
        </w:rPr>
        <w:t xml:space="preserve"> or </w:t>
      </w:r>
      <w:r w:rsidRPr="003D6B19">
        <w:rPr>
          <w:bCs/>
          <w:lang w:val="id-ID"/>
        </w:rPr>
        <w:fldChar w:fldCharType="begin" w:fldLock="1"/>
      </w:r>
      <w:r w:rsidRPr="003D6B19">
        <w:rPr>
          <w:bCs/>
          <w:lang w:val="id-ID"/>
        </w:rPr>
        <w:instrText>ADDIN CSL_CITATION {"citationItems":[{"id":"ITEM-1","itemData":{"DOI":"10.1016/j.copbio.2018.08.003","ISSN":"18790429","PMID":"30153614","abstract":"Matrix-assisted laser desorption/ionization mass spectrometry imaging (MALDI MSI) has emerged as a key technology for label-free bioanalysis of the spatial distribution of biomolecules, pharmaceuticals and other xenobiotics in tissue sections. Recent advances in instrumentation, sample preparation, multimodal workflows, quantification, analytical standardization and ‘big data’ processing have led to widespread utilization of MALDI MSI in pharmaceutical research. These developments have led to applications of the technology in drug discovery beyond drug disposition analysis, most notably in pharmacodynamic biomarker research and in toxicology.","author":[{"dropping-particle":"","family":"Schulz","given":"Sandra","non-dropping-particle":"","parse-names":false,"suffix":""},{"dropping-particle":"","family":"Becker","given":"Michael","non-dropping-particle":"","parse-names":false,"suffix":""},{"dropping-particle":"","family":"Groseclose","given":"M. Reid","non-dropping-particle":"","parse-names":false,"suffix":""},{"dropping-particle":"","family":"Schadt","given":"Simone","non-dropping-particle":"","parse-names":false,"suffix":""},{"dropping-particle":"","family":"Hopf","given":"Carsten","non-dropping-particle":"","parse-names":false,"suffix":""}],"container-title":"Current Opinion in Biotechnology","id":"ITEM-1","issued":{"date-parts":[["2019"]]},"page":"51-59","publisher":"Elsevier Ltd","title":"Advanced MALDI mass spectrometry imaging in pharmaceutical research and drug development","type":"article-journal","volume":"55"},"uris":["http://www.mendeley.com/documents/?uuid=f5fe6c7e-85a6-44bf-a354-44af2e50ead0"]}],"mendeley":{"formattedCitation":"[17]","plainTextFormattedCitation":"[17]","previouslyFormattedCitation":"[17]"},"properties":{"noteIndex":0},"schema":"https://github.com/citation-style-language/schema/raw/master/csl-citation.json"}</w:instrText>
      </w:r>
      <w:r w:rsidRPr="003D6B19">
        <w:rPr>
          <w:bCs/>
          <w:lang w:val="id-ID"/>
        </w:rPr>
        <w:fldChar w:fldCharType="separate"/>
      </w:r>
      <w:r w:rsidRPr="003D6B19">
        <w:rPr>
          <w:bCs/>
          <w:noProof/>
          <w:lang w:val="id-ID"/>
        </w:rPr>
        <w:t>[17]</w:t>
      </w:r>
      <w:r w:rsidRPr="003D6B19">
        <w:rPr>
          <w:bCs/>
          <w:lang w:val="id-ID"/>
        </w:rPr>
        <w:fldChar w:fldCharType="end"/>
      </w:r>
      <w:r w:rsidRPr="003D6B19">
        <w:rPr>
          <w:bCs/>
        </w:rPr>
        <w:t xml:space="preserve"> </w:t>
      </w:r>
      <w:r w:rsidRPr="003D6B19">
        <w:rPr>
          <w:bCs/>
          <w:lang w:val="id-ID"/>
        </w:rPr>
        <w:t xml:space="preserve">for multiple references. The use of ”Ref </w:t>
      </w:r>
      <w:r w:rsidRPr="003D6B19">
        <w:rPr>
          <w:bCs/>
          <w:lang w:val="id-ID"/>
        </w:rPr>
        <w:fldChar w:fldCharType="begin" w:fldLock="1"/>
      </w:r>
      <w:r w:rsidRPr="003D6B19">
        <w:rPr>
          <w:bCs/>
          <w:lang w:val="id-ID"/>
        </w:rPr>
        <w:instrText>ADDIN CSL_CITATION {"citationItems":[{"id":"ITEM-1","itemData":{"DOI":"10.1016/j.eng.2019.01.019","ISSN":"20958099","abstract":"Safe, efficient, and sustainable operations and control are primary objectives in industrial manufacturing processes. State-of-the-art technologies heavily rely on human intervention, thereby showing apparent limitations in practice. The burgeoning era of big data is influencing the process industries tremendously, providing unprecedented opportunities to achieve smart manufacturing. This kind of manufacturing requires machines to not only be capable of relieving humans from intensive physical work, but also be effective in taking on intellectual labor and even producing innovations on their own. To attain this goal, data analytics and machine learning are indispensable. In this paper, we review recent advances in data analytics and machine learning applied to the monitoring, control, and optimization of industrial processes, paying particular attention to the interpretability and functionality of machine learning models. By analyzing the gap between practical requirements and the current research status, promising future research directions are identified.","author":[{"dropping-particle":"","family":"Shang","given":"Chao","non-dropping-particle":"","parse-names":false,"suffix":""},{"dropping-particle":"","family":"You","given":"Fengqi","non-dropping-particle":"","parse-names":false,"suffix":""}],"container-title":"Engineering","id":"ITEM-1","issue":"6","issued":{"date-parts":[["2019"]]},"page":"1010-1016","publisher":"Chinese Academy of Engineering","title":"Data Analytics and Machine Learning for Smart Process Manufacturing: Recent Advances and Perspectives in the Big Data Era","type":"article-journal","volume":"5"},"uris":["http://www.mendeley.com/documents/?uuid=72265640-48e8-4ec5-a62b-19b132377a67"]}],"mendeley":{"formattedCitation":"[18]","plainTextFormattedCitation":"[18]","previouslyFormattedCitation":"[18]"},"properties":{"noteIndex":0},"schema":"https://github.com/citation-style-language/schema/raw/master/csl-citation.json"}</w:instrText>
      </w:r>
      <w:r w:rsidRPr="003D6B19">
        <w:rPr>
          <w:bCs/>
          <w:lang w:val="id-ID"/>
        </w:rPr>
        <w:fldChar w:fldCharType="separate"/>
      </w:r>
      <w:r w:rsidRPr="003D6B19">
        <w:rPr>
          <w:bCs/>
          <w:noProof/>
          <w:lang w:val="id-ID"/>
        </w:rPr>
        <w:t>[18]</w:t>
      </w:r>
      <w:r w:rsidRPr="003D6B19">
        <w:rPr>
          <w:bCs/>
          <w:lang w:val="id-ID"/>
        </w:rPr>
        <w:fldChar w:fldCharType="end"/>
      </w:r>
      <w:r w:rsidRPr="003D6B19">
        <w:rPr>
          <w:bCs/>
          <w:lang w:val="id-ID"/>
        </w:rPr>
        <w:t>...”</w:t>
      </w:r>
      <w:r w:rsidRPr="003D6B19">
        <w:rPr>
          <w:bCs/>
        </w:rPr>
        <w:t xml:space="preserve"> </w:t>
      </w:r>
      <w:r w:rsidRPr="003D6B19">
        <w:rPr>
          <w:bCs/>
          <w:lang w:val="id-ID"/>
        </w:rPr>
        <w:t>should be employed for any reference citation at the beginning of sentence. For any reference with more than</w:t>
      </w:r>
      <w:r w:rsidRPr="003D6B19">
        <w:rPr>
          <w:bCs/>
        </w:rPr>
        <w:t xml:space="preserve"> </w:t>
      </w:r>
      <w:r w:rsidRPr="003D6B19">
        <w:rPr>
          <w:bCs/>
          <w:lang w:val="id-ID"/>
        </w:rPr>
        <w:t xml:space="preserve">3 or more authors, only the first author is to be written followed by </w:t>
      </w:r>
      <w:r w:rsidRPr="003D6B19">
        <w:rPr>
          <w:bCs/>
          <w:i/>
          <w:iCs/>
          <w:lang w:val="id-ID"/>
        </w:rPr>
        <w:t>et al</w:t>
      </w:r>
      <w:r w:rsidRPr="003D6B19">
        <w:rPr>
          <w:bCs/>
        </w:rPr>
        <w:t>.</w:t>
      </w:r>
      <w:r w:rsidRPr="003D6B19">
        <w:rPr>
          <w:bCs/>
          <w:lang w:val="id-ID"/>
        </w:rPr>
        <w:t xml:space="preserve"> (e.g. in </w:t>
      </w:r>
      <w:r w:rsidRPr="003D6B19">
        <w:rPr>
          <w:bCs/>
          <w:lang w:val="id-ID"/>
        </w:rPr>
        <w:fldChar w:fldCharType="begin" w:fldLock="1"/>
      </w:r>
      <w:r w:rsidRPr="003D6B19">
        <w:rPr>
          <w:bCs/>
          <w:lang w:val="id-ID"/>
        </w:rPr>
        <w:instrText>ADDIN CSL_CITATION {"citationItems":[{"id":"ITEM-1","itemData":{"DOI":"10.26599/BDMA.2019.9020007","ISSN":"20960654","abstract":"The explosion of digital healthcare data has led to a surge of data-driven medical research based on machine learning. In recent years, as a powerful technique for big data, deep learning has gained a central position in machine learning circles for its great advantages in feature representation and pattern recognition. This article presents a comprehensive overview of studies that employ deep learning methods to deal with clinical data. Firstly, based on the analysis of the characteristics of clinical data, various types of clinical data (e.g., medical images, clinical notes, lab results, vital signs, and demographic informatics) are discussed and details provided of some public clinical datasets. Secondly, a brief review of common deep learning models and their characteristics is conducted. Then, considering the wide range of clinical research and the diversity of data types, several deep learning applications for clinical data are illustrated: auxiliary diagnosis, prognosis, early warning, and other tasks. Although there are challenges involved in applying deep learning techniques to clinical data, it is still worthwhile to look forward to a promising future for deep learning applications in clinical big data in the direction of precision medicine.","author":[{"dropping-particle":"","family":"Yu","given":"Ying","non-dropping-particle":"","parse-names":false,"suffix":""},{"dropping-particle":"","family":"Li","given":"Min","non-dropping-particle":"","parse-names":false,"suffix":""},{"dropping-particle":"","family":"Liu","given":"Liangliang","non-dropping-particle":"","parse-names":false,"suffix":""},{"dropping-particle":"","family":"Li","given":"Yaohang","non-dropping-particle":"","parse-names":false,"suffix":""},{"dropping-particle":"","family":"Wang","given":"Jianxin","non-dropping-particle":"","parse-names":false,"suffix":""}],"container-title":"Big Data Mining and Analytics","id":"ITEM-1","issue":"4","issued":{"date-parts":[["2019"]]},"page":"288-305","title":"Clinical big data and deep learning: Applications, challenges, and future outlooks","type":"article-journal","volume":"2"},"uris":["http://www.mendeley.com/documents/?uuid=dc530d84-ac5a-4515-9d73-9b7787b32589"]}],"mendeley":{"formattedCitation":"[19]","plainTextFormattedCitation":"[19]","previouslyFormattedCitation":"[19]"},"properties":{"noteIndex":0},"schema":"https://github.com/citation-style-language/schema/raw/master/csl-citation.json"}</w:instrText>
      </w:r>
      <w:r w:rsidRPr="003D6B19">
        <w:rPr>
          <w:bCs/>
          <w:lang w:val="id-ID"/>
        </w:rPr>
        <w:fldChar w:fldCharType="separate"/>
      </w:r>
      <w:r w:rsidRPr="003D6B19">
        <w:rPr>
          <w:bCs/>
          <w:noProof/>
          <w:lang w:val="id-ID"/>
        </w:rPr>
        <w:t>[19]</w:t>
      </w:r>
      <w:r w:rsidRPr="003D6B19">
        <w:rPr>
          <w:bCs/>
          <w:lang w:val="id-ID"/>
        </w:rPr>
        <w:fldChar w:fldCharType="end"/>
      </w:r>
      <w:r w:rsidRPr="003D6B19">
        <w:rPr>
          <w:bCs/>
          <w:lang w:val="id-ID"/>
        </w:rPr>
        <w:t>). Examples of reference</w:t>
      </w:r>
      <w:r w:rsidRPr="003D6B19">
        <w:rPr>
          <w:bCs/>
        </w:rPr>
        <w:t xml:space="preserve"> </w:t>
      </w:r>
      <w:r w:rsidRPr="003D6B19">
        <w:rPr>
          <w:bCs/>
          <w:lang w:val="id-ID"/>
        </w:rPr>
        <w:t xml:space="preserve">items of different categories shown in the References section. </w:t>
      </w:r>
      <w:r w:rsidRPr="00735BBC">
        <w:rPr>
          <w:bCs/>
          <w:lang w:val="id-ID"/>
        </w:rPr>
        <w:t>Each item in</w:t>
      </w:r>
      <w:r w:rsidRPr="003D6B19">
        <w:rPr>
          <w:bCs/>
          <w:lang w:val="id-ID"/>
        </w:rPr>
        <w:t xml:space="preserve"> the references section should be</w:t>
      </w:r>
      <w:r w:rsidRPr="003D6B19">
        <w:rPr>
          <w:bCs/>
        </w:rPr>
        <w:t xml:space="preserve"> </w:t>
      </w:r>
      <w:r w:rsidRPr="003D6B19">
        <w:rPr>
          <w:bCs/>
          <w:lang w:val="id-ID"/>
        </w:rPr>
        <w:t xml:space="preserve">typed using </w:t>
      </w:r>
      <w:r w:rsidR="005C0292">
        <w:rPr>
          <w:bCs/>
        </w:rPr>
        <w:t>8</w:t>
      </w:r>
      <w:r w:rsidRPr="003D6B19">
        <w:rPr>
          <w:bCs/>
        </w:rPr>
        <w:t xml:space="preserve"> </w:t>
      </w:r>
      <w:r w:rsidRPr="003D6B19">
        <w:rPr>
          <w:bCs/>
          <w:lang w:val="id-ID"/>
        </w:rPr>
        <w:t>pt font size</w:t>
      </w:r>
      <w:r w:rsidRPr="003D6B19">
        <w:rPr>
          <w:bCs/>
        </w:rPr>
        <w:t xml:space="preserve"> </w:t>
      </w:r>
      <w:r w:rsidRPr="003D6B19">
        <w:rPr>
          <w:bCs/>
        </w:rPr>
        <w:fldChar w:fldCharType="begin" w:fldLock="1"/>
      </w:r>
      <w:r w:rsidRPr="003D6B19">
        <w:rPr>
          <w:bCs/>
        </w:rPr>
        <w:instrText>ADDIN CSL_CITATION {"citationItems":[{"id":"ITEM-1","itemData":{"DOI":"10.1109/ACCESS.2019.2899402","ISSN":"21693536","abstract":"In services-oriented computing networks, packets in the process of routing to a data center must wait for a sufficient amount of data before service aggregation to reduce the network transmission load. However, packets must be uploaded to the data center as soon as possible to reduce delay. With the exponential growth in the number of IoT connected devices, the wait time for packets is longer at routers due to massive amounts of data, which causes a large queuing delay. If this queuing time can be utilized for service aggregation in a service-oriented computing network, the network performance will be substantially improved. Therefore, a queuing delay utilization scheme for on-path service aggregation (SAQD) is proposed in this paper. This scheme has the following innovations: 1) SAQD fully utilizes the queuing delay of packets for service aggregation, which can effectively reduce the transmission volume and communication overhead. Based on the proposed service aggregation algorithm, packets are divided into forwarding packets and aggregating packets, and the service aggregation of aggregating packets is completed by utilizing the transmission time of forwarding packets to ensure that the transmission volume and communication overhead are effectively reduced without additional latency. 2) SAQD can effectively alleviate the traffic pressure of the data center and balance the workload of routers. By the service aggregation and intranet cache of routers, some requests for the data center can be handled by routers, which reduces the traffic pressure of the data center, especially in the peak period. Compared with conventional schemes, the experimental results demonstrate that SAQD reduces the workload of the data center by 55.8%-66.26% and provides users with a better quality of experience by reducing the request response delay by 31.33%51.41%.","author":[{"dropping-particle":"","family":"Huang","given":"Mingfeng","non-dropping-particle":"","parse-names":false,"suffix":""},{"dropping-particle":"","family":"Liu","given":"Wei","non-dropping-particle":"","parse-names":false,"suffix":""},{"dropping-particle":"","family":"Wang","given":"Tian","non-dropping-particle":"","parse-names":false,"suffix":""},{"dropping-particle":"","family":"Song","given":"Houbing","non-dropping-particle":"","parse-names":false,"suffix":""},{"dropping-particle":"","family":"Li","given":"Xiong","non-dropping-particle":"","parse-names":false,"suffix":""},{"dropping-particle":"","family":"Liu","given":"Anfeng","non-dropping-particle":"","parse-names":false,"suffix":""}],"container-title":"IEEE Access","id":"ITEM-1","issued":{"date-parts":[["2019"]]},"page":"23816-23833","publisher":"IEEE","title":"A queuing delay utilization scheme for on-path service aggregation in services-oriented computing networks","type":"article-journal","volume":"7"},"uris":["http://www.mendeley.com/documents/?uuid=1af4668e-cf37-4e48-aaac-7170d7a8cea1"]},{"id":"ITEM-2","itemData":{"DOI":"10.3390/s19071711","ISSN":"14248220","PMID":"30974791","abstract":"Marine 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author":[{"dropping-particle":"","family":"Xu","given":"Guobao","non-dropping-particle":"","parse-names":false,"suffix":""},{"dropping-particle":"","family":"Shi","given":"Yanjun","non-dropping-particle":"","parse-names":false,"suffix":""},{"dropping-particle":"","family":"Sun","given":"Xueyan","non-dropping-particle":"","parse-names":false,"suffix":""},{"dropping-particle":"","family":"Shen","given":"Weiming","non-dropping-particle":"","parse-names":false,"suffix":""}],"container-title":"Sensors (Switzerland)","id":"ITEM-2","issue":"7","issued":{"date-parts":[["2019"]]},"page":"1-21","title":"Internet of things in marine environment monitoring: A review","type":"article-journal","volume":"19"},"uris":["http://www.mendeley.com/documents/?uuid=4a9417a8-a2e7-4b45-9210-a4a912c84db7"]},{"id":"ITEM-3","itemData":{"DOI":"10.3390/s19092206","ISBN":"9665370693","ISSN":"14248220","PMID":"31086055","abstract":"Road transportation is the backbone of modern economies, albeit it annually costs 1.25 million deaths and trillions of dollars to the global economy, and damages public health and the environment. Deep learning is among the leading-edge methods used for transportation-related predictions,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author":[{"dropping-particle":"","family":"Aqib","given":"Muhammad","non-dropping-particle":"","parse-names":false,"suffix":""},{"dropping-particle":"","family":"Mehmood","given":"Rashid","non-dropping-particle":"","parse-names":false,"suffix":""},{"dropping-particle":"","family":"Alzahrani","given":"Ahmed","non-dropping-particle":"","parse-names":false,"suffix":""},{"dropping-particle":"","family":"Katib","given":"Iyad","non-dropping-particle":"","parse-names":false,"suffix":""},{"dropping-particle":"","family":"Albeshri","given":"Aiiad","non-dropping-particle":"","parse-names":false,"suffix":""},{"dropping-particle":"","family":"Altowaijri","given":"Saleh M.","non-dropping-particle":"","parse-names":false,"suffix":""}],"container-title":"Sensors (Switzerland)","id":"ITEM-3","issue":"9","issued":{"date-parts":[["2019"]]},"number-of-pages":"1-34","title":"Smarter traffic prediction using big data, in-memory computing, deep learning and gpus","type":"book","volume":"19"},"uris":["http://www.mendeley.com/documents/?uuid=9c01dc08-28f9-4055-acc8-bddbf4c80c7a"]},{"id":"ITEM-4","itemData":{"abstract":"This groundbreaking, open access volume analyses and compares data practices across several fields through the analysis of specific cases of data journeys. It brings together leading scholars in the philosophy, history and social studies of science to achieve two goals: tracking the travel of data across different spaces, times and domains of research practice; and documenting how such journeys affect the use of data as evidence and the knowledge being produced. The volume captures the opportunities, challenges and concerns involved in making data move from the sites in which they are originally produced to sites where they can be integrated with other data, analysed and re-used for a variety of purposes. The in-depth study of data journeys provides the necessary ground to examine disciplinary, geographical and historical differences and similarities in data management, processing and interpretation, thus identifying the key conditions of possibility for the widespread data sharing associated with Big and Open Data. The chapters are ordered in sections that broadly correspond to different stages of the journeys of data, from their generation to the legitimisation of their use for specific purposes. Additionally, the preface to the volume provides a variety of alternative “roadmaps” aimed to serve the different interests and entry points of readers; and the introduction provides a substantive overview of what data journeys can teach about the methods and epistemology of research.","author":[{"dropping-particle":"","family":"Leonelli","given":"Sabina","non-dropping-particle":"","parse-names":false,"suffix":""},{"dropping-particle":"","family":"Tempini","given":"Niccolò","non-dropping-particle":"","parse-names":false,"suffix":""}],"id":"ITEM-4","issued":{"date-parts":[["2020"]]},"number-of-pages":"27-44","title":"Data Journeys in the Sciences","type":"book"},"uris":["http://www.mendeley.com/documents/?uuid=9f5cf8f4-5c83-4c60-96e6-53325754ac4d"]},{"id":"ITEM-5","itemData":{"author":[{"dropping-particle":"","family":"Stylos","given":"Nikolaos","non-dropping-particle":"","parse-names":false,"suffix":""},{"dropping-particle":"","family":"Zwiegelaar","given":"Jeremy","non-dropping-particle":"","parse-names":false,"suffix":""}],"id":"ITEM-5","issued":{"date-parts":[["2019"]]},"number-of-pages":"163-181","title":"Big Data as a Game Changer: How Does It Shape Business Intelligence Within a Tourism and Hospitality Industry Context?","type":"book"},"uris":["http://www.mendeley.com/documents/?uuid=6e4f0ab0-a592-4a04-a0ed-5d33ecdd2e1c"]},{"id":"ITEM-6","itemData":{"ISSN":"23318422","abstract":"Tensor completion is a problem of filling the missing or unobserved entries of partially observed tensors. Due to the multidimensional character of tensors in describing complex datasets, tensor completion algorithms and their applications have received wide attention and achievement in areas like data mining, computer vision, signal processing, and neuroscience. In this survey, we provide a modern overview of recent advances in tensor completion algorithms from the perspective of big data analytics characterized by diverse variety, large volume, and high velocity. We characterize these advances from four perspectives: general tensor completion algorithms, tensor completion with auxiliary information (variety), scalable tensor completion algorithms (volume), and dynamic tensor completion algorithms (velocity). Further, we identify several tensor completion applications on real-world data-driven problems and present some common experimental frameworks popularized in the literature. Our goal is to summarize these popular methods and introduce them to researchers and practitioners for promoting future research and applications. We conclude with a discussion of key challenges and promising research directions in this community for future exploration.","author":[{"dropping-particle":"","family":"Song","given":"Qingquan","non-dropping-particle":"","parse-names":false,"suffix":""},{"dropping-particle":"","family":"Ge","given":"Hancheng","non-dropping-particle":"","parse-names":false,"suffix":""},{"dropping-particle":"","family":"Caverlee","given":"James","non-dropping-particle":"","parse-names":false,"suffix":""},{"dropping-particle":"","family":"Hu","given":"Xia","non-dropping-particle":"","parse-names":false,"suffix":""}],"container-title":"arXiv","id":"ITEM-6","issue":"1","issued":{"date-parts":[["2017"]]},"title":"Tensor completion algorithms in big data analytics","type":"article-journal","volume":"13"},"uris":["http://www.mendeley.com/documents/?uuid=27a05a45-94b5-4818-b3eb-005b6528df75"]}],"mendeley":{"formattedCitation":"[20]–[25]","plainTextFormattedCitation":"[20]–[25]"},"properties":{"noteIndex":0},"schema":"https://github.com/citation-style-language/schema/raw/master/csl-citation.json"}</w:instrText>
      </w:r>
      <w:r w:rsidRPr="003D6B19">
        <w:rPr>
          <w:bCs/>
        </w:rPr>
        <w:fldChar w:fldCharType="separate"/>
      </w:r>
      <w:r w:rsidRPr="003D6B19">
        <w:rPr>
          <w:bCs/>
          <w:noProof/>
        </w:rPr>
        <w:t>[20]–[25]</w:t>
      </w:r>
      <w:r w:rsidRPr="003D6B19">
        <w:rPr>
          <w:bCs/>
        </w:rPr>
        <w:fldChar w:fldCharType="end"/>
      </w:r>
      <w:r w:rsidRPr="003D6B19">
        <w:rPr>
          <w:bCs/>
          <w:lang w:val="id-ID"/>
        </w:rPr>
        <w:t>.</w:t>
      </w:r>
    </w:p>
    <w:p w14:paraId="740F6FB0" w14:textId="73C6FD84" w:rsidR="00E619D6" w:rsidRDefault="00E619D6" w:rsidP="00E619D6">
      <w:pPr>
        <w:ind w:firstLine="720"/>
        <w:jc w:val="both"/>
        <w:rPr>
          <w:bCs/>
          <w:lang w:val="id-ID"/>
        </w:rPr>
      </w:pPr>
    </w:p>
    <w:p w14:paraId="33F8B7D3" w14:textId="77777777" w:rsidR="00760506" w:rsidRPr="003D6B19" w:rsidRDefault="00760506" w:rsidP="00E619D6">
      <w:pPr>
        <w:ind w:firstLine="720"/>
        <w:jc w:val="both"/>
        <w:rPr>
          <w:bCs/>
          <w:lang w:val="id-ID"/>
        </w:rPr>
      </w:pPr>
    </w:p>
    <w:p w14:paraId="0F3CA98D"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3.2.1. Subsub section 1</w:t>
      </w:r>
    </w:p>
    <w:p w14:paraId="25414E61" w14:textId="77777777" w:rsidR="00E619D6" w:rsidRPr="003D6B19" w:rsidRDefault="00E619D6" w:rsidP="00E619D6">
      <w:pPr>
        <w:ind w:firstLine="720"/>
        <w:jc w:val="both"/>
        <w:rPr>
          <w:rStyle w:val="fontstyle01"/>
          <w:rFonts w:ascii="Times New Roman" w:hAnsi="Times New Roman"/>
        </w:rPr>
      </w:pPr>
      <w:r w:rsidRPr="003D6B19">
        <w:rPr>
          <w:lang w:val="id-ID"/>
        </w:rPr>
        <w:t>yy</w:t>
      </w:r>
      <w:r w:rsidRPr="003D6B19">
        <w:rPr>
          <w:color w:val="000000"/>
        </w:rPr>
        <w:br/>
      </w:r>
    </w:p>
    <w:p w14:paraId="5568B601"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3.2.2. Subsub section 2</w:t>
      </w:r>
    </w:p>
    <w:p w14:paraId="2D1B2B3E" w14:textId="77777777" w:rsidR="00E619D6" w:rsidRPr="003D6B19" w:rsidRDefault="00E619D6" w:rsidP="00E619D6">
      <w:pPr>
        <w:ind w:firstLine="720"/>
        <w:jc w:val="both"/>
        <w:rPr>
          <w:b/>
          <w:bCs/>
        </w:rPr>
      </w:pPr>
      <w:r w:rsidRPr="003D6B19">
        <w:t>zz</w:t>
      </w:r>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7A07F5E5"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7A7E94F0" w14:textId="721498D8" w:rsidR="00E619D6" w:rsidRPr="003D6B19" w:rsidRDefault="00E619D6" w:rsidP="00354A58">
      <w:pPr>
        <w:ind w:firstLine="709"/>
        <w:jc w:val="both"/>
        <w:rPr>
          <w:lang w:val="id-ID"/>
        </w:rPr>
      </w:pPr>
      <w:r w:rsidRPr="003D6B19">
        <w:rPr>
          <w:lang w:val="id-ID"/>
        </w:rPr>
        <w:t xml:space="preserve">Provide </w:t>
      </w:r>
      <w:r w:rsidR="00354A58" w:rsidRPr="003D6B19">
        <w:rPr>
          <w:lang w:val="id-ID"/>
        </w:rPr>
        <w:t xml:space="preserve">a statement that what is expected, as stated in the "INTRODUCTION" </w:t>
      </w:r>
      <w:r w:rsidR="00354A58" w:rsidRPr="003D6B19">
        <w:t>section</w:t>
      </w:r>
      <w:r w:rsidR="00354A58" w:rsidRPr="003D6B19">
        <w:rPr>
          <w:lang w:val="id-ID"/>
        </w:rPr>
        <w:t xml:space="preserve"> can ultimately result in "RESULTS AND DISCUSSION" </w:t>
      </w:r>
      <w:r w:rsidR="00354A58" w:rsidRPr="003D6B19">
        <w:t>section</w:t>
      </w:r>
      <w:r w:rsidR="00354A58" w:rsidRPr="003D6B19">
        <w:rPr>
          <w:lang w:val="id-ID"/>
        </w:rPr>
        <w:t>, so there is compatibility. Moreover, it can also be added the prospect of the development of research results and application prospects of further studies into the next (based on result and discussion).</w:t>
      </w:r>
    </w:p>
    <w:p w14:paraId="1B388F68" w14:textId="77777777" w:rsidR="00354A58" w:rsidRPr="003D6B19" w:rsidRDefault="00354A58" w:rsidP="00354A58">
      <w:pPr>
        <w:ind w:firstLine="709"/>
        <w:jc w:val="both"/>
        <w:rPr>
          <w:b/>
          <w:bCs/>
        </w:rPr>
      </w:pPr>
    </w:p>
    <w:p w14:paraId="6524B611" w14:textId="77777777" w:rsidR="00E619D6" w:rsidRPr="003D6B19" w:rsidRDefault="00E619D6" w:rsidP="00E619D6">
      <w:pPr>
        <w:rPr>
          <w:b/>
          <w:bCs/>
        </w:rPr>
      </w:pP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t xml:space="preserve">ACKNOWLEDGEMENTS </w:t>
      </w:r>
      <w:r w:rsidRPr="003D6B19">
        <w:rPr>
          <w:b/>
          <w:bCs/>
        </w:rPr>
        <w:t>(10 PT)</w:t>
      </w:r>
    </w:p>
    <w:p w14:paraId="54AE7F84" w14:textId="331FB080" w:rsidR="00354A58" w:rsidRPr="003D6B19" w:rsidRDefault="00E94443" w:rsidP="00354A58">
      <w:pPr>
        <w:ind w:firstLine="720"/>
        <w:jc w:val="both"/>
        <w:rPr>
          <w:rStyle w:val="apple-style-span"/>
          <w:bCs/>
          <w:color w:val="000000"/>
          <w:lang w:val="pt-BR"/>
        </w:rPr>
      </w:pPr>
      <w:bookmarkStart w:id="11" w:name="_Hlk78354940"/>
      <w:r w:rsidRPr="00735BBC">
        <w:t>Author</w:t>
      </w:r>
      <w:r w:rsidRPr="00E94443">
        <w:t xml:space="preserve"> thanks ... </w:t>
      </w:r>
      <w:r>
        <w:t>.</w:t>
      </w:r>
      <w:r w:rsidRPr="00E94443">
        <w:t xml:space="preserve"> In most cases, sponsor and financial support acknowledgments</w:t>
      </w:r>
      <w:r>
        <w:t>.</w:t>
      </w:r>
    </w:p>
    <w:bookmarkEnd w:id="11"/>
    <w:p w14:paraId="3B8CC628" w14:textId="455ED99F" w:rsidR="00E619D6" w:rsidRPr="003D6B19" w:rsidRDefault="00E619D6" w:rsidP="00354A58">
      <w:pPr>
        <w:ind w:firstLine="720"/>
        <w:jc w:val="both"/>
        <w:rPr>
          <w:rStyle w:val="apple-style-span"/>
          <w:bCs/>
          <w:color w:val="000000"/>
          <w:lang w:val="pt-BR"/>
        </w:rPr>
      </w:pPr>
    </w:p>
    <w:p w14:paraId="229ACC24" w14:textId="77777777" w:rsidR="00E619D6" w:rsidRPr="003D6B19" w:rsidRDefault="00E619D6" w:rsidP="00E619D6">
      <w:pPr>
        <w:rPr>
          <w:rStyle w:val="apple-style-span"/>
          <w:bCs/>
          <w:color w:val="000000"/>
          <w:lang w:val="pt-BR"/>
        </w:rPr>
      </w:pPr>
    </w:p>
    <w:p w14:paraId="2796523A" w14:textId="77777777" w:rsidR="00E619D6" w:rsidRPr="003D6B19" w:rsidRDefault="00E619D6" w:rsidP="00E619D6">
      <w:pPr>
        <w:rPr>
          <w:color w:val="000000"/>
          <w:lang w:val="pt-BR"/>
        </w:rPr>
      </w:pPr>
      <w:r w:rsidRPr="003D6B19">
        <w:rPr>
          <w:rStyle w:val="apple-style-span"/>
          <w:b/>
          <w:color w:val="000000"/>
          <w:lang w:val="pt-BR"/>
        </w:rPr>
        <w:t xml:space="preserve">REFERENCES </w:t>
      </w:r>
      <w:r w:rsidRPr="003D6B19">
        <w:rPr>
          <w:b/>
          <w:bCs/>
        </w:rPr>
        <w:t>(10 PT)</w:t>
      </w:r>
    </w:p>
    <w:p w14:paraId="5B832FB2" w14:textId="77777777" w:rsidR="00612242" w:rsidRPr="00EA5A34" w:rsidRDefault="00612242" w:rsidP="00612242">
      <w:pPr>
        <w:ind w:firstLine="720"/>
        <w:jc w:val="both"/>
        <w:rPr>
          <w:sz w:val="16"/>
          <w:szCs w:val="16"/>
        </w:rPr>
      </w:pPr>
      <w:bookmarkStart w:id="12" w:name="_Hlk78354957"/>
      <w:bookmarkStart w:id="13" w:name="_Hlk80021798"/>
      <w:r w:rsidRPr="00EA5A34">
        <w:rPr>
          <w:color w:val="000000"/>
          <w:sz w:val="16"/>
          <w:szCs w:val="16"/>
        </w:rPr>
        <w:t xml:space="preserve">The main references are </w:t>
      </w:r>
      <w:r w:rsidRPr="00EA5A34">
        <w:rPr>
          <w:sz w:val="16"/>
          <w:szCs w:val="16"/>
        </w:rPr>
        <w:t>international</w:t>
      </w:r>
      <w:r w:rsidRPr="00EA5A34">
        <w:rPr>
          <w:color w:val="000000"/>
          <w:sz w:val="16"/>
          <w:szCs w:val="16"/>
        </w:rPr>
        <w:t xml:space="preserve"> journals and proceedings. All references should be to the most pertinent, up-to-date sources </w:t>
      </w:r>
      <w:r w:rsidRPr="00EA5A34">
        <w:rPr>
          <w:b/>
          <w:bCs/>
          <w:color w:val="000000"/>
          <w:sz w:val="16"/>
          <w:szCs w:val="16"/>
        </w:rPr>
        <w:t xml:space="preserve">and the </w:t>
      </w:r>
      <w:r w:rsidRPr="00EA5A34">
        <w:rPr>
          <w:b/>
          <w:bCs/>
          <w:sz w:val="16"/>
          <w:szCs w:val="16"/>
        </w:rPr>
        <w:t xml:space="preserve">minimum of references </w:t>
      </w:r>
      <w:r w:rsidRPr="00EA5A34">
        <w:rPr>
          <w:sz w:val="16"/>
          <w:szCs w:val="16"/>
        </w:rPr>
        <w:t xml:space="preserve">are </w:t>
      </w:r>
      <w:r w:rsidRPr="00EA5A34">
        <w:rPr>
          <w:b/>
          <w:bCs/>
          <w:sz w:val="16"/>
          <w:szCs w:val="16"/>
        </w:rPr>
        <w:t xml:space="preserve">25 entries </w:t>
      </w:r>
      <w:r w:rsidRPr="00EA5A34">
        <w:rPr>
          <w:sz w:val="16"/>
          <w:szCs w:val="16"/>
        </w:rPr>
        <w:t>(for original research paper)</w:t>
      </w:r>
      <w:r w:rsidRPr="00EA5A34">
        <w:rPr>
          <w:b/>
          <w:bCs/>
          <w:sz w:val="16"/>
          <w:szCs w:val="16"/>
        </w:rPr>
        <w:t xml:space="preserve"> </w:t>
      </w:r>
      <w:r w:rsidRPr="00EA5A34">
        <w:rPr>
          <w:sz w:val="16"/>
          <w:szCs w:val="16"/>
        </w:rPr>
        <w:t xml:space="preserve">and </w:t>
      </w:r>
      <w:r w:rsidRPr="00EA5A34">
        <w:rPr>
          <w:b/>
          <w:bCs/>
          <w:sz w:val="16"/>
          <w:szCs w:val="16"/>
        </w:rPr>
        <w:t xml:space="preserve">50 entries </w:t>
      </w:r>
      <w:r w:rsidRPr="00EA5A34">
        <w:rPr>
          <w:sz w:val="16"/>
          <w:szCs w:val="16"/>
        </w:rPr>
        <w:t xml:space="preserve">(for review/survey paper). References are written in </w:t>
      </w:r>
      <w:r w:rsidRPr="00EA5A34">
        <w:rPr>
          <w:b/>
          <w:bCs/>
          <w:sz w:val="16"/>
          <w:szCs w:val="16"/>
        </w:rPr>
        <w:t>IEEE style</w:t>
      </w:r>
      <w:r w:rsidRPr="00EA5A34">
        <w:rPr>
          <w:sz w:val="16"/>
          <w:szCs w:val="16"/>
        </w:rPr>
        <w:t xml:space="preserve">. For more complete guide can be accessed at (http://ipmuonline.com/guide/refstyle.pdf). Use of a tool such as </w:t>
      </w:r>
      <w:r w:rsidRPr="00EA5A34">
        <w:rPr>
          <w:b/>
          <w:bCs/>
          <w:sz w:val="16"/>
          <w:szCs w:val="16"/>
        </w:rPr>
        <w:t>EndNote</w:t>
      </w:r>
      <w:r w:rsidRPr="00EA5A34">
        <w:rPr>
          <w:sz w:val="16"/>
          <w:szCs w:val="16"/>
        </w:rPr>
        <w:t xml:space="preserve">, </w:t>
      </w:r>
      <w:r w:rsidRPr="00EA5A34">
        <w:rPr>
          <w:b/>
          <w:bCs/>
          <w:sz w:val="16"/>
          <w:szCs w:val="16"/>
        </w:rPr>
        <w:t>Mendeley</w:t>
      </w:r>
      <w:r w:rsidRPr="00EA5A34">
        <w:rPr>
          <w:sz w:val="16"/>
          <w:szCs w:val="16"/>
        </w:rPr>
        <w:t xml:space="preserve">, or </w:t>
      </w:r>
      <w:r w:rsidRPr="00EA5A34">
        <w:rPr>
          <w:b/>
          <w:bCs/>
          <w:sz w:val="16"/>
          <w:szCs w:val="16"/>
        </w:rPr>
        <w:t>Zotero</w:t>
      </w:r>
      <w:r w:rsidRPr="00EA5A34">
        <w:rPr>
          <w:sz w:val="16"/>
          <w:szCs w:val="16"/>
        </w:rPr>
        <w:t xml:space="preserve"> for reference management and formatting, and choose </w:t>
      </w:r>
      <w:r w:rsidRPr="00EA5A34">
        <w:rPr>
          <w:b/>
          <w:bCs/>
          <w:sz w:val="16"/>
          <w:szCs w:val="16"/>
        </w:rPr>
        <w:t>IEEE style</w:t>
      </w:r>
      <w:r w:rsidRPr="00EA5A34">
        <w:rPr>
          <w:sz w:val="16"/>
          <w:szCs w:val="16"/>
        </w:rPr>
        <w:t xml:space="preserve">. </w:t>
      </w:r>
      <w:r w:rsidRPr="00EA5A34">
        <w:rPr>
          <w:iCs/>
          <w:sz w:val="16"/>
          <w:szCs w:val="16"/>
        </w:rPr>
        <w:t>Please use</w:t>
      </w:r>
      <w:r w:rsidRPr="00EA5A34">
        <w:rPr>
          <w:sz w:val="16"/>
          <w:szCs w:val="16"/>
        </w:rPr>
        <w:t xml:space="preserve"> a consistent format for </w:t>
      </w:r>
      <w:r w:rsidRPr="00EA5A34">
        <w:rPr>
          <w:iCs/>
          <w:sz w:val="16"/>
          <w:szCs w:val="16"/>
        </w:rPr>
        <w:t>references-</w:t>
      </w:r>
      <w:r w:rsidRPr="00EA5A34">
        <w:rPr>
          <w:sz w:val="16"/>
          <w:szCs w:val="16"/>
        </w:rPr>
        <w:t>see examples (8 pt):</w:t>
      </w:r>
    </w:p>
    <w:p w14:paraId="52C99E5F" w14:textId="77777777" w:rsidR="00612242" w:rsidRDefault="00612242" w:rsidP="00612242">
      <w:pPr>
        <w:jc w:val="both"/>
        <w:rPr>
          <w:color w:val="000000"/>
        </w:rPr>
      </w:pPr>
      <w:bookmarkStart w:id="14" w:name="_Hlk80002086"/>
      <w:bookmarkEnd w:id="12"/>
    </w:p>
    <w:p w14:paraId="1BCD9322" w14:textId="77777777" w:rsidR="00612242" w:rsidRDefault="00612242" w:rsidP="00612242">
      <w:pPr>
        <w:pStyle w:val="ListParagraph"/>
        <w:numPr>
          <w:ilvl w:val="0"/>
          <w:numId w:val="19"/>
        </w:numPr>
        <w:spacing w:after="0" w:line="240" w:lineRule="auto"/>
        <w:ind w:left="426" w:hanging="426"/>
        <w:jc w:val="both"/>
        <w:rPr>
          <w:rFonts w:ascii="Times New Roman" w:hAnsi="Times New Roman"/>
          <w:b/>
          <w:bCs/>
          <w:sz w:val="18"/>
          <w:szCs w:val="18"/>
        </w:rPr>
      </w:pPr>
      <w:bookmarkStart w:id="15" w:name="_Hlk65223902"/>
      <w:bookmarkStart w:id="16" w:name="_Hlk80001145"/>
      <w:r>
        <w:rPr>
          <w:rFonts w:ascii="Times New Roman" w:hAnsi="Times New Roman"/>
          <w:b/>
          <w:bCs/>
          <w:sz w:val="18"/>
          <w:szCs w:val="18"/>
        </w:rPr>
        <w:t>Journal/Periodicals</w:t>
      </w:r>
    </w:p>
    <w:p w14:paraId="3892330E" w14:textId="77777777" w:rsidR="00612242" w:rsidRDefault="00612242" w:rsidP="00612242">
      <w:pPr>
        <w:pStyle w:val="Default"/>
        <w:jc w:val="both"/>
        <w:rPr>
          <w:rFonts w:cs="Times New Roman"/>
          <w:sz w:val="16"/>
          <w:szCs w:val="16"/>
        </w:rPr>
      </w:pPr>
      <w:r>
        <w:rPr>
          <w:rFonts w:cs="Times New Roman"/>
          <w:i/>
          <w:iCs/>
          <w:sz w:val="16"/>
          <w:szCs w:val="16"/>
        </w:rPr>
        <w:t xml:space="preserve">Basic Format: </w:t>
      </w:r>
    </w:p>
    <w:p w14:paraId="5BBD604C" w14:textId="77777777" w:rsidR="00612242" w:rsidRDefault="00612242" w:rsidP="00612242">
      <w:pPr>
        <w:autoSpaceDE w:val="0"/>
        <w:autoSpaceDN w:val="0"/>
        <w:adjustRightInd w:val="0"/>
        <w:jc w:val="both"/>
        <w:rPr>
          <w:color w:val="000000"/>
          <w:sz w:val="16"/>
          <w:szCs w:val="16"/>
        </w:rPr>
      </w:pPr>
      <w:r>
        <w:rPr>
          <w:color w:val="000000"/>
          <w:sz w:val="16"/>
          <w:szCs w:val="16"/>
        </w:rPr>
        <w:t xml:space="preserve">J. K. Author, “Title of paper,” </w:t>
      </w:r>
      <w:r>
        <w:rPr>
          <w:i/>
          <w:iCs/>
          <w:color w:val="000000"/>
          <w:sz w:val="16"/>
          <w:szCs w:val="16"/>
        </w:rPr>
        <w:t>Abbrev. Title of Journal/Periodical</w:t>
      </w:r>
      <w:r>
        <w:rPr>
          <w:color w:val="000000"/>
          <w:sz w:val="16"/>
          <w:szCs w:val="16"/>
        </w:rPr>
        <w:t xml:space="preserve">, vol. </w:t>
      </w:r>
      <w:r>
        <w:rPr>
          <w:i/>
          <w:iCs/>
          <w:color w:val="000000"/>
          <w:sz w:val="16"/>
          <w:szCs w:val="16"/>
        </w:rPr>
        <w:t xml:space="preserve">x, </w:t>
      </w:r>
      <w:r>
        <w:rPr>
          <w:color w:val="000000"/>
          <w:sz w:val="16"/>
          <w:szCs w:val="16"/>
        </w:rPr>
        <w:t xml:space="preserve">no. </w:t>
      </w:r>
      <w:r>
        <w:rPr>
          <w:i/>
          <w:iCs/>
          <w:color w:val="000000"/>
          <w:sz w:val="16"/>
          <w:szCs w:val="16"/>
        </w:rPr>
        <w:t xml:space="preserve">x, </w:t>
      </w:r>
      <w:r>
        <w:rPr>
          <w:color w:val="000000"/>
          <w:sz w:val="16"/>
          <w:szCs w:val="16"/>
        </w:rPr>
        <w:t>pp</w:t>
      </w:r>
      <w:r>
        <w:rPr>
          <w:i/>
          <w:iCs/>
          <w:color w:val="000000"/>
          <w:sz w:val="16"/>
          <w:szCs w:val="16"/>
        </w:rPr>
        <w:t xml:space="preserve">. xxx-xxx, </w:t>
      </w:r>
      <w:r>
        <w:rPr>
          <w:color w:val="000000"/>
          <w:sz w:val="16"/>
          <w:szCs w:val="16"/>
        </w:rPr>
        <w:t xml:space="preserve">Abbrev. Month, year, doi: </w:t>
      </w:r>
      <w:r>
        <w:rPr>
          <w:i/>
          <w:iCs/>
          <w:color w:val="000000"/>
          <w:sz w:val="16"/>
          <w:szCs w:val="16"/>
        </w:rPr>
        <w:t>xxx</w:t>
      </w:r>
      <w:r>
        <w:rPr>
          <w:color w:val="000000"/>
          <w:sz w:val="16"/>
          <w:szCs w:val="16"/>
        </w:rPr>
        <w:t xml:space="preserve">. </w:t>
      </w:r>
    </w:p>
    <w:p w14:paraId="0B243701" w14:textId="77777777" w:rsidR="00612242" w:rsidRDefault="00612242" w:rsidP="00612242">
      <w:pPr>
        <w:pStyle w:val="Default"/>
        <w:jc w:val="both"/>
        <w:rPr>
          <w:rFonts w:cs="Times New Roman"/>
          <w:color w:val="212121"/>
          <w:sz w:val="16"/>
          <w:szCs w:val="16"/>
        </w:rPr>
      </w:pPr>
      <w:r>
        <w:rPr>
          <w:rFonts w:cs="Times New Roman"/>
          <w:i/>
          <w:iCs/>
          <w:color w:val="212121"/>
          <w:sz w:val="16"/>
          <w:szCs w:val="16"/>
        </w:rPr>
        <w:t xml:space="preserve">Examples: </w:t>
      </w:r>
    </w:p>
    <w:bookmarkEnd w:id="15"/>
    <w:p w14:paraId="075ECA5A" w14:textId="77777777"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M. M. Chiampi and L. L. Zilberti, “Induction of electric field in human bodies moving near MRI: An efficient BEM computational procedure,” </w:t>
      </w:r>
      <w:r>
        <w:rPr>
          <w:rFonts w:cs="Times New Roman"/>
          <w:i/>
          <w:iCs/>
          <w:sz w:val="16"/>
          <w:szCs w:val="16"/>
        </w:rPr>
        <w:t>IEEE Trans. Biomed. Eng.</w:t>
      </w:r>
      <w:r>
        <w:rPr>
          <w:rFonts w:cs="Times New Roman"/>
          <w:sz w:val="16"/>
          <w:szCs w:val="16"/>
        </w:rPr>
        <w:t xml:space="preserve">, vol. 58, pp. 2787–2793, Oct. 2011, doi: 10.1109/TBME.2011.2158315. </w:t>
      </w:r>
    </w:p>
    <w:p w14:paraId="5A859FE2" w14:textId="640ABFF5"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R. Fardel, M. Nagel, F. Nuesch, T. Lippert, and A. Wokaun, “Fabrication of organic light emitting diode pixels by laser-assisted forward transfer,” </w:t>
      </w:r>
      <w:r>
        <w:rPr>
          <w:rFonts w:cs="Times New Roman"/>
          <w:i/>
          <w:iCs/>
          <w:sz w:val="16"/>
          <w:szCs w:val="16"/>
        </w:rPr>
        <w:t>Appl. Phys. Lett.</w:t>
      </w:r>
      <w:r>
        <w:rPr>
          <w:rFonts w:cs="Times New Roman"/>
          <w:sz w:val="16"/>
          <w:szCs w:val="16"/>
        </w:rPr>
        <w:t xml:space="preserve">, vol. 91, no. 6, Aug. 2007, Art. no. 061103, doi: 10.1063/1.2759475. </w:t>
      </w:r>
    </w:p>
    <w:p w14:paraId="0B731723" w14:textId="77777777" w:rsidR="00874EAA" w:rsidRDefault="00874EAA" w:rsidP="00874EAA">
      <w:pPr>
        <w:pStyle w:val="Default"/>
        <w:ind w:left="426"/>
        <w:jc w:val="both"/>
        <w:rPr>
          <w:rFonts w:cs="Times New Roman"/>
          <w:sz w:val="16"/>
          <w:szCs w:val="16"/>
        </w:rPr>
      </w:pPr>
    </w:p>
    <w:p w14:paraId="53537BFD" w14:textId="77777777" w:rsidR="00612242" w:rsidRDefault="00612242" w:rsidP="00612242">
      <w:pPr>
        <w:pStyle w:val="ListParagraph"/>
        <w:numPr>
          <w:ilvl w:val="0"/>
          <w:numId w:val="19"/>
        </w:numPr>
        <w:spacing w:after="0" w:line="240" w:lineRule="auto"/>
        <w:ind w:left="426" w:hanging="426"/>
        <w:jc w:val="both"/>
        <w:rPr>
          <w:rFonts w:ascii="Times New Roman" w:hAnsi="Times New Roman"/>
          <w:color w:val="000000"/>
          <w:sz w:val="18"/>
          <w:szCs w:val="18"/>
        </w:rPr>
      </w:pPr>
      <w:r>
        <w:rPr>
          <w:rFonts w:ascii="Times New Roman" w:hAnsi="Times New Roman"/>
          <w:b/>
          <w:bCs/>
          <w:sz w:val="18"/>
          <w:szCs w:val="18"/>
        </w:rPr>
        <w:t xml:space="preserve">Conference Proceedings </w:t>
      </w:r>
    </w:p>
    <w:p w14:paraId="44C87F69" w14:textId="77777777" w:rsidR="00612242" w:rsidRDefault="00612242" w:rsidP="00612242">
      <w:pPr>
        <w:pStyle w:val="Default"/>
        <w:jc w:val="both"/>
        <w:rPr>
          <w:rFonts w:cs="Times New Roman"/>
          <w:sz w:val="16"/>
          <w:szCs w:val="16"/>
        </w:rPr>
      </w:pPr>
      <w:r>
        <w:rPr>
          <w:rFonts w:cs="Times New Roman"/>
          <w:i/>
          <w:iCs/>
          <w:sz w:val="16"/>
          <w:szCs w:val="16"/>
        </w:rPr>
        <w:t xml:space="preserve">Basic Format: </w:t>
      </w:r>
    </w:p>
    <w:p w14:paraId="5ACCCB91" w14:textId="77777777" w:rsidR="00612242" w:rsidRDefault="00612242" w:rsidP="00612242">
      <w:pPr>
        <w:autoSpaceDE w:val="0"/>
        <w:autoSpaceDN w:val="0"/>
        <w:adjustRightInd w:val="0"/>
        <w:jc w:val="both"/>
        <w:rPr>
          <w:color w:val="000000"/>
          <w:spacing w:val="-2"/>
          <w:sz w:val="16"/>
          <w:szCs w:val="16"/>
        </w:rPr>
      </w:pPr>
      <w:r>
        <w:rPr>
          <w:color w:val="000000"/>
          <w:spacing w:val="-2"/>
          <w:sz w:val="16"/>
          <w:szCs w:val="16"/>
        </w:rPr>
        <w:t xml:space="preserve">J. K. Author, “Title of paper,” in </w:t>
      </w:r>
      <w:r>
        <w:rPr>
          <w:i/>
          <w:iCs/>
          <w:color w:val="000000"/>
          <w:spacing w:val="-2"/>
          <w:sz w:val="16"/>
          <w:szCs w:val="16"/>
        </w:rPr>
        <w:t>Abbreviated Name of Conf.</w:t>
      </w:r>
      <w:r>
        <w:rPr>
          <w:color w:val="000000"/>
          <w:spacing w:val="-2"/>
          <w:sz w:val="16"/>
          <w:szCs w:val="16"/>
        </w:rPr>
        <w:t xml:space="preserve">, (location of conference is optional), year, pp. </w:t>
      </w:r>
      <w:r>
        <w:rPr>
          <w:i/>
          <w:iCs/>
          <w:color w:val="000000"/>
          <w:spacing w:val="-2"/>
          <w:sz w:val="16"/>
          <w:szCs w:val="16"/>
        </w:rPr>
        <w:t>xxx–xxx</w:t>
      </w:r>
      <w:r>
        <w:rPr>
          <w:color w:val="000000"/>
          <w:spacing w:val="-2"/>
          <w:sz w:val="16"/>
          <w:szCs w:val="16"/>
        </w:rPr>
        <w:t xml:space="preserve">, doi: </w:t>
      </w:r>
      <w:r>
        <w:rPr>
          <w:i/>
          <w:iCs/>
          <w:color w:val="000000"/>
          <w:spacing w:val="-2"/>
          <w:sz w:val="16"/>
          <w:szCs w:val="16"/>
        </w:rPr>
        <w:t xml:space="preserve">xxx. </w:t>
      </w:r>
    </w:p>
    <w:p w14:paraId="7DAA4D24" w14:textId="77777777" w:rsidR="00612242" w:rsidRDefault="00612242" w:rsidP="00612242">
      <w:pPr>
        <w:pStyle w:val="Default"/>
        <w:jc w:val="both"/>
        <w:rPr>
          <w:rFonts w:cs="Times New Roman"/>
          <w:i/>
          <w:iCs/>
          <w:sz w:val="16"/>
          <w:szCs w:val="16"/>
        </w:rPr>
      </w:pPr>
      <w:r>
        <w:rPr>
          <w:rFonts w:cs="Times New Roman"/>
          <w:i/>
          <w:iCs/>
          <w:sz w:val="16"/>
          <w:szCs w:val="16"/>
        </w:rPr>
        <w:t xml:space="preserve">Examples: </w:t>
      </w:r>
    </w:p>
    <w:p w14:paraId="095E6B9F" w14:textId="77777777"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G. Veruggio, “The EURON roboethics roadmap,” in </w:t>
      </w:r>
      <w:r>
        <w:rPr>
          <w:rFonts w:cs="Times New Roman"/>
          <w:i/>
          <w:iCs/>
          <w:sz w:val="16"/>
          <w:szCs w:val="16"/>
        </w:rPr>
        <w:t>Proc. Humanoids ’06: 6th IEEE-RAS Int. Conf. Humanoid Robots</w:t>
      </w:r>
      <w:r>
        <w:rPr>
          <w:rFonts w:cs="Times New Roman"/>
          <w:sz w:val="16"/>
          <w:szCs w:val="16"/>
        </w:rPr>
        <w:t xml:space="preserve">, 2006, pp. 612–617, doi: 10.1109/ICHR.2006.321337. </w:t>
      </w:r>
    </w:p>
    <w:p w14:paraId="06536AE3" w14:textId="77777777"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J. Zhao, G. Sun, G. H. Loh, and Y. Xie, “Energy-efficient GPU design with reconfigurable </w:t>
      </w:r>
      <w:r>
        <w:rPr>
          <w:rFonts w:cs="Times New Roman"/>
          <w:sz w:val="16"/>
          <w:szCs w:val="16"/>
        </w:rPr>
        <w:lastRenderedPageBreak/>
        <w:t xml:space="preserve">in-package graphics memory,” in </w:t>
      </w:r>
      <w:r>
        <w:rPr>
          <w:rFonts w:cs="Times New Roman"/>
          <w:i/>
          <w:iCs/>
          <w:sz w:val="16"/>
          <w:szCs w:val="16"/>
        </w:rPr>
        <w:t>Proc. ACM/IEEE Int. Symp. Low Power Electron. Design (ISLPED)</w:t>
      </w:r>
      <w:r>
        <w:rPr>
          <w:rFonts w:cs="Times New Roman"/>
          <w:sz w:val="16"/>
          <w:szCs w:val="16"/>
        </w:rPr>
        <w:t xml:space="preserve">, Jul. 2012, pp. 403–408, doi: 10.1145/2333660.2333752. </w:t>
      </w:r>
    </w:p>
    <w:p w14:paraId="49383BD0" w14:textId="77777777" w:rsidR="00612242" w:rsidRDefault="00612242" w:rsidP="00612242">
      <w:pPr>
        <w:jc w:val="both"/>
        <w:rPr>
          <w:b/>
          <w:bCs/>
        </w:rPr>
      </w:pPr>
    </w:p>
    <w:p w14:paraId="0D5B80FE" w14:textId="77777777" w:rsidR="00612242" w:rsidRDefault="00612242" w:rsidP="00612242">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Book</w:t>
      </w:r>
    </w:p>
    <w:p w14:paraId="0A704F5E" w14:textId="77777777" w:rsidR="00612242" w:rsidRDefault="00612242" w:rsidP="00612242">
      <w:pPr>
        <w:pStyle w:val="Default"/>
        <w:jc w:val="both"/>
        <w:rPr>
          <w:rFonts w:cs="Times New Roman"/>
          <w:i/>
          <w:iCs/>
          <w:sz w:val="16"/>
          <w:szCs w:val="16"/>
        </w:rPr>
      </w:pPr>
      <w:r>
        <w:rPr>
          <w:rFonts w:cs="Times New Roman"/>
          <w:i/>
          <w:iCs/>
          <w:sz w:val="16"/>
          <w:szCs w:val="16"/>
        </w:rPr>
        <w:t xml:space="preserve">Basic Format: </w:t>
      </w:r>
    </w:p>
    <w:p w14:paraId="11A17A61" w14:textId="77777777" w:rsidR="00612242" w:rsidRDefault="00612242" w:rsidP="00612242">
      <w:pPr>
        <w:autoSpaceDE w:val="0"/>
        <w:autoSpaceDN w:val="0"/>
        <w:adjustRightInd w:val="0"/>
        <w:jc w:val="both"/>
        <w:rPr>
          <w:color w:val="000000"/>
          <w:sz w:val="16"/>
          <w:szCs w:val="16"/>
        </w:rPr>
      </w:pPr>
      <w:r>
        <w:rPr>
          <w:color w:val="000000"/>
          <w:sz w:val="16"/>
          <w:szCs w:val="16"/>
        </w:rPr>
        <w:t xml:space="preserve">J. K. Author, “Title of chapter in the book,” in </w:t>
      </w:r>
      <w:r>
        <w:rPr>
          <w:i/>
          <w:iCs/>
          <w:color w:val="000000"/>
          <w:sz w:val="16"/>
          <w:szCs w:val="16"/>
        </w:rPr>
        <w:t>Title of His Published Book</w:t>
      </w:r>
      <w:r>
        <w:rPr>
          <w:color w:val="000000"/>
          <w:sz w:val="16"/>
          <w:szCs w:val="16"/>
        </w:rPr>
        <w:t xml:space="preserve">, X. Editor, Ed., </w:t>
      </w:r>
      <w:r>
        <w:rPr>
          <w:i/>
          <w:iCs/>
          <w:color w:val="000000"/>
          <w:sz w:val="16"/>
          <w:szCs w:val="16"/>
        </w:rPr>
        <w:t>x</w:t>
      </w:r>
      <w:r>
        <w:rPr>
          <w:color w:val="000000"/>
          <w:sz w:val="16"/>
          <w:szCs w:val="16"/>
        </w:rPr>
        <w:t xml:space="preserve">th ed. City of Publisher, State (only U.S.), Country: Abbrev. of Publisher, year, ch. </w:t>
      </w:r>
      <w:r>
        <w:rPr>
          <w:i/>
          <w:iCs/>
          <w:color w:val="000000"/>
          <w:sz w:val="16"/>
          <w:szCs w:val="16"/>
        </w:rPr>
        <w:t>x</w:t>
      </w:r>
      <w:r>
        <w:rPr>
          <w:color w:val="000000"/>
          <w:sz w:val="16"/>
          <w:szCs w:val="16"/>
        </w:rPr>
        <w:t xml:space="preserve">, sec. </w:t>
      </w:r>
      <w:r>
        <w:rPr>
          <w:i/>
          <w:iCs/>
          <w:color w:val="000000"/>
          <w:sz w:val="16"/>
          <w:szCs w:val="16"/>
        </w:rPr>
        <w:t>x</w:t>
      </w:r>
      <w:r>
        <w:rPr>
          <w:color w:val="000000"/>
          <w:sz w:val="16"/>
          <w:szCs w:val="16"/>
        </w:rPr>
        <w:t xml:space="preserve">, pp. </w:t>
      </w:r>
      <w:r>
        <w:rPr>
          <w:i/>
          <w:iCs/>
          <w:color w:val="000000"/>
          <w:sz w:val="16"/>
          <w:szCs w:val="16"/>
        </w:rPr>
        <w:t xml:space="preserve">xxx–xxx. </w:t>
      </w:r>
    </w:p>
    <w:p w14:paraId="7AE09BAC" w14:textId="77777777" w:rsidR="00612242" w:rsidRDefault="00612242" w:rsidP="00612242">
      <w:pPr>
        <w:jc w:val="both"/>
        <w:rPr>
          <w:i/>
          <w:iCs/>
          <w:sz w:val="16"/>
          <w:szCs w:val="16"/>
        </w:rPr>
      </w:pPr>
      <w:r>
        <w:rPr>
          <w:i/>
          <w:iCs/>
          <w:sz w:val="16"/>
          <w:szCs w:val="16"/>
        </w:rPr>
        <w:t>Examples:</w:t>
      </w:r>
    </w:p>
    <w:p w14:paraId="15C11DC8" w14:textId="77777777"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A. Taflove, </w:t>
      </w:r>
      <w:r>
        <w:rPr>
          <w:rFonts w:cs="Times New Roman"/>
          <w:i/>
          <w:iCs/>
          <w:sz w:val="16"/>
          <w:szCs w:val="16"/>
        </w:rPr>
        <w:t xml:space="preserve">Computational Electrodynamics: The Finite-Difference Time-Domain Method </w:t>
      </w:r>
      <w:r>
        <w:rPr>
          <w:rFonts w:cs="Times New Roman"/>
          <w:sz w:val="16"/>
          <w:szCs w:val="16"/>
        </w:rPr>
        <w:t xml:space="preserve">in Computational Electrodynamics II, vol. 3, 2nd ed. Norwood, MA, USA: Artech House, 1996. </w:t>
      </w:r>
    </w:p>
    <w:p w14:paraId="2CA044B8" w14:textId="77777777"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R. L. Myer, “Parametric oscillators and nonlinear materials,” in </w:t>
      </w:r>
      <w:r>
        <w:rPr>
          <w:rFonts w:cs="Times New Roman"/>
          <w:i/>
          <w:iCs/>
          <w:sz w:val="16"/>
          <w:szCs w:val="16"/>
        </w:rPr>
        <w:t>Nonlinear Optics</w:t>
      </w:r>
      <w:r>
        <w:rPr>
          <w:rFonts w:cs="Times New Roman"/>
          <w:sz w:val="16"/>
          <w:szCs w:val="16"/>
        </w:rPr>
        <w:t xml:space="preserve">, vol. 4, P. G. Harper and B. S. Wherret, Eds., San Francisco, CA, USA: Academic, 1977, pp. 47–160. </w:t>
      </w:r>
    </w:p>
    <w:p w14:paraId="1B791020" w14:textId="77777777" w:rsidR="00612242" w:rsidRDefault="00612242" w:rsidP="00612242">
      <w:pPr>
        <w:jc w:val="both"/>
        <w:rPr>
          <w:color w:val="000000"/>
        </w:rPr>
      </w:pPr>
    </w:p>
    <w:p w14:paraId="0E6C67D5" w14:textId="77777777" w:rsidR="00612242" w:rsidRDefault="00612242" w:rsidP="00612242">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 xml:space="preserve">M. Theses (B.S., M.S.) and Dissertations (Ph.D.) </w:t>
      </w:r>
    </w:p>
    <w:p w14:paraId="6FD7FF70" w14:textId="77777777" w:rsidR="00612242" w:rsidRDefault="00612242" w:rsidP="00612242">
      <w:pPr>
        <w:pStyle w:val="Default"/>
        <w:jc w:val="both"/>
        <w:rPr>
          <w:rFonts w:cs="Times New Roman"/>
          <w:sz w:val="16"/>
          <w:szCs w:val="16"/>
        </w:rPr>
      </w:pPr>
      <w:r>
        <w:rPr>
          <w:rFonts w:cs="Times New Roman"/>
          <w:i/>
          <w:iCs/>
          <w:sz w:val="16"/>
          <w:szCs w:val="16"/>
        </w:rPr>
        <w:t xml:space="preserve">Basic Format: </w:t>
      </w:r>
    </w:p>
    <w:p w14:paraId="4C6F5A35" w14:textId="77777777" w:rsidR="00612242" w:rsidRDefault="00612242" w:rsidP="00612242">
      <w:pPr>
        <w:pStyle w:val="Default"/>
        <w:jc w:val="both"/>
        <w:rPr>
          <w:rFonts w:cs="Times New Roman"/>
          <w:sz w:val="16"/>
          <w:szCs w:val="16"/>
        </w:rPr>
      </w:pPr>
      <w:r>
        <w:rPr>
          <w:rFonts w:cs="Times New Roman"/>
          <w:sz w:val="16"/>
          <w:szCs w:val="16"/>
        </w:rPr>
        <w:t xml:space="preserve">J. K. Author, “Title of thesis,” M.S. thesis, Abbrev. Dept., Abbrev. Univ., City of Univ., Abbrev. State, year. </w:t>
      </w:r>
    </w:p>
    <w:p w14:paraId="66E47A18" w14:textId="77777777" w:rsidR="00612242" w:rsidRDefault="00612242" w:rsidP="00612242">
      <w:pPr>
        <w:pStyle w:val="Default"/>
        <w:jc w:val="both"/>
        <w:rPr>
          <w:rFonts w:cs="Times New Roman"/>
          <w:sz w:val="16"/>
          <w:szCs w:val="16"/>
        </w:rPr>
      </w:pPr>
      <w:r>
        <w:rPr>
          <w:rFonts w:cs="Times New Roman"/>
          <w:sz w:val="16"/>
          <w:szCs w:val="16"/>
        </w:rPr>
        <w:t xml:space="preserve">J. K. Author, “Title of dissertation,” Ph.D. dissertation, Abbrev. Dept., Abbrev. Univ., City of Univ., Abbrev. State, year. </w:t>
      </w:r>
    </w:p>
    <w:p w14:paraId="662CD890" w14:textId="77777777" w:rsidR="00612242" w:rsidRDefault="00612242" w:rsidP="00612242">
      <w:pPr>
        <w:pStyle w:val="Default"/>
        <w:jc w:val="both"/>
        <w:rPr>
          <w:rFonts w:cs="Times New Roman"/>
          <w:sz w:val="16"/>
          <w:szCs w:val="16"/>
        </w:rPr>
      </w:pPr>
      <w:r>
        <w:rPr>
          <w:rFonts w:cs="Times New Roman"/>
          <w:i/>
          <w:iCs/>
          <w:sz w:val="16"/>
          <w:szCs w:val="16"/>
        </w:rPr>
        <w:t xml:space="preserve">Examples: </w:t>
      </w:r>
    </w:p>
    <w:p w14:paraId="617CF117" w14:textId="77777777"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J. O. Williams, “Narrow-band analyzer,” Ph.D. dissertation, Dept. Elect. Eng., Harvard Univ., Cambridge, MA, USA, 1993. </w:t>
      </w:r>
    </w:p>
    <w:p w14:paraId="1139E4F6" w14:textId="77777777" w:rsidR="00612242" w:rsidRDefault="00612242" w:rsidP="00612242">
      <w:pPr>
        <w:pStyle w:val="Default"/>
        <w:numPr>
          <w:ilvl w:val="0"/>
          <w:numId w:val="22"/>
        </w:numPr>
        <w:ind w:left="426"/>
        <w:jc w:val="both"/>
        <w:rPr>
          <w:rFonts w:cs="Times New Roman"/>
          <w:sz w:val="16"/>
          <w:szCs w:val="16"/>
        </w:rPr>
      </w:pPr>
      <w:r>
        <w:rPr>
          <w:rFonts w:cs="Times New Roman"/>
          <w:sz w:val="16"/>
          <w:szCs w:val="16"/>
        </w:rPr>
        <w:t xml:space="preserve">N. Kawasaki, “Parametric study of thermal and chemical nonequilibrium nozzle flow,” M.S. thesis, Dept. Electron. Eng., Osaka Univ., Osaka, Japan, 1993. </w:t>
      </w:r>
    </w:p>
    <w:p w14:paraId="75117087" w14:textId="77777777" w:rsidR="00612242" w:rsidRDefault="00612242" w:rsidP="00612242">
      <w:pPr>
        <w:pStyle w:val="Default"/>
        <w:rPr>
          <w:rFonts w:cs="Times New Roman"/>
          <w:sz w:val="20"/>
          <w:szCs w:val="20"/>
        </w:rPr>
      </w:pPr>
    </w:p>
    <w:p w14:paraId="3916EFF7" w14:textId="77777777" w:rsidR="00612242" w:rsidRDefault="00612242" w:rsidP="00612242">
      <w:pPr>
        <w:rPr>
          <w:color w:val="000000"/>
          <w:sz w:val="16"/>
          <w:szCs w:val="16"/>
        </w:rPr>
      </w:pPr>
      <w:r>
        <w:rPr>
          <w:color w:val="000000"/>
          <w:sz w:val="16"/>
          <w:szCs w:val="16"/>
        </w:rPr>
        <w:t xml:space="preserve">*In the reference list, however, list all the authors for up to six authors. Use </w:t>
      </w:r>
      <w:r>
        <w:rPr>
          <w:i/>
          <w:iCs/>
          <w:color w:val="000000"/>
          <w:sz w:val="16"/>
          <w:szCs w:val="16"/>
        </w:rPr>
        <w:t>et al.</w:t>
      </w:r>
      <w:r>
        <w:rPr>
          <w:color w:val="000000"/>
          <w:sz w:val="16"/>
          <w:szCs w:val="16"/>
        </w:rPr>
        <w:t xml:space="preserve"> only if: 1) The names are not given and 2) List of authors more than 6. </w:t>
      </w:r>
      <w:r>
        <w:rPr>
          <w:i/>
          <w:iCs/>
          <w:color w:val="000000"/>
          <w:sz w:val="16"/>
          <w:szCs w:val="16"/>
        </w:rPr>
        <w:t>Example</w:t>
      </w:r>
      <w:r>
        <w:rPr>
          <w:color w:val="000000"/>
          <w:sz w:val="16"/>
          <w:szCs w:val="16"/>
        </w:rPr>
        <w:t xml:space="preserve">: J. D. Bellamy </w:t>
      </w:r>
      <w:r>
        <w:rPr>
          <w:i/>
          <w:iCs/>
          <w:color w:val="000000"/>
          <w:sz w:val="16"/>
          <w:szCs w:val="16"/>
        </w:rPr>
        <w:t>et al.</w:t>
      </w:r>
      <w:r>
        <w:rPr>
          <w:color w:val="000000"/>
          <w:sz w:val="16"/>
          <w:szCs w:val="16"/>
        </w:rPr>
        <w:t>, Computer Telephony Integration, New York: Wiley, 2010.</w:t>
      </w:r>
      <w:bookmarkEnd w:id="13"/>
      <w:bookmarkEnd w:id="14"/>
      <w:bookmarkEnd w:id="16"/>
    </w:p>
    <w:p w14:paraId="353EC8E9" w14:textId="7CB066D2" w:rsidR="00C523CB" w:rsidRDefault="00C523CB" w:rsidP="00C523CB">
      <w:pPr>
        <w:jc w:val="both"/>
        <w:rPr>
          <w:color w:val="000000"/>
          <w:sz w:val="18"/>
          <w:szCs w:val="18"/>
        </w:rPr>
      </w:pPr>
    </w:p>
    <w:p w14:paraId="16657CAE" w14:textId="77777777" w:rsidR="00773306" w:rsidRPr="003D6B19" w:rsidRDefault="00773306" w:rsidP="00C523CB">
      <w:pPr>
        <w:jc w:val="both"/>
        <w:rPr>
          <w:color w:val="000000"/>
          <w:sz w:val="18"/>
          <w:szCs w:val="18"/>
        </w:rPr>
      </w:pPr>
    </w:p>
    <w:p w14:paraId="37129761" w14:textId="67B0F1B1" w:rsidR="00E619D6" w:rsidRPr="003D6B19" w:rsidRDefault="00E619D6" w:rsidP="00E619D6">
      <w:pPr>
        <w:jc w:val="both"/>
        <w:rPr>
          <w:i/>
          <w:iCs/>
          <w:color w:val="000000"/>
          <w:sz w:val="18"/>
          <w:szCs w:val="18"/>
        </w:rPr>
      </w:pPr>
      <w:r w:rsidRPr="003D6B19">
        <w:rPr>
          <w:i/>
          <w:iCs/>
          <w:color w:val="000000"/>
          <w:sz w:val="18"/>
          <w:szCs w:val="18"/>
        </w:rPr>
        <w:t>See the examples:</w:t>
      </w:r>
    </w:p>
    <w:p w14:paraId="2969FE6E" w14:textId="77777777" w:rsidR="00354A58" w:rsidRPr="003D6B19" w:rsidRDefault="00354A58" w:rsidP="00354A58">
      <w:pPr>
        <w:jc w:val="both"/>
        <w:rPr>
          <w:i/>
          <w:iCs/>
          <w:color w:val="000000"/>
          <w:sz w:val="18"/>
          <w:szCs w:val="18"/>
        </w:rPr>
      </w:pPr>
      <w:bookmarkStart w:id="17" w:name="_Hlk78354977"/>
      <w:r w:rsidRPr="003D6B19">
        <w:rPr>
          <w:rStyle w:val="apple-style-span"/>
          <w:b/>
          <w:color w:val="000000"/>
          <w:lang w:val="pt-BR"/>
        </w:rPr>
        <w:t>REFERENCES</w:t>
      </w:r>
    </w:p>
    <w:bookmarkEnd w:id="17"/>
    <w:p w14:paraId="5F462C78"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color w:val="000000"/>
          <w:sz w:val="16"/>
          <w:szCs w:val="16"/>
        </w:rPr>
        <w:fldChar w:fldCharType="begin" w:fldLock="1"/>
      </w:r>
      <w:r w:rsidRPr="00C523CB">
        <w:rPr>
          <w:color w:val="000000"/>
          <w:sz w:val="16"/>
          <w:szCs w:val="16"/>
        </w:rPr>
        <w:instrText xml:space="preserve">ADDIN Mendeley Bibliography CSL_BIBLIOGRAPHY </w:instrText>
      </w:r>
      <w:r w:rsidRPr="00C523CB">
        <w:rPr>
          <w:color w:val="000000"/>
          <w:sz w:val="16"/>
          <w:szCs w:val="16"/>
        </w:rPr>
        <w:fldChar w:fldCharType="separate"/>
      </w:r>
      <w:r w:rsidRPr="00C523CB">
        <w:rPr>
          <w:noProof/>
          <w:sz w:val="16"/>
          <w:szCs w:val="22"/>
        </w:rPr>
        <w:t>[1]</w:t>
      </w:r>
      <w:r w:rsidRPr="00C523CB">
        <w:rPr>
          <w:noProof/>
          <w:sz w:val="16"/>
          <w:szCs w:val="22"/>
        </w:rPr>
        <w:tab/>
        <w:t xml:space="preserve">M. Sigala, A. Beer, L. Hodgson, and A. O’Connor, </w:t>
      </w:r>
      <w:r w:rsidRPr="00C523CB">
        <w:rPr>
          <w:i/>
          <w:iCs/>
          <w:noProof/>
          <w:sz w:val="16"/>
          <w:szCs w:val="22"/>
        </w:rPr>
        <w:t>Big Data for Measuring the Impact of Tourism Economic Development Programmes: A Process and Quality Criteria Framework for Using Big Data</w:t>
      </w:r>
      <w:r w:rsidRPr="00C523CB">
        <w:rPr>
          <w:noProof/>
          <w:sz w:val="16"/>
          <w:szCs w:val="22"/>
        </w:rPr>
        <w:t>. 2019.</w:t>
      </w:r>
    </w:p>
    <w:p w14:paraId="2224D555"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[2]</w:t>
      </w:r>
      <w:r w:rsidRPr="00C523CB">
        <w:rPr>
          <w:noProof/>
          <w:sz w:val="16"/>
          <w:szCs w:val="22"/>
        </w:rPr>
        <w:tab/>
        <w:t xml:space="preserve">G. Nguyen </w:t>
      </w:r>
      <w:r w:rsidRPr="00C523CB">
        <w:rPr>
          <w:i/>
          <w:iCs/>
          <w:noProof/>
          <w:sz w:val="16"/>
          <w:szCs w:val="22"/>
        </w:rPr>
        <w:t>et al.</w:t>
      </w:r>
      <w:r w:rsidRPr="00C523CB">
        <w:rPr>
          <w:noProof/>
          <w:sz w:val="16"/>
          <w:szCs w:val="22"/>
        </w:rPr>
        <w:t xml:space="preserve">, “Machine Learning and Deep Learning frameworks and libraries for large-scale data mining: a survey,” </w:t>
      </w:r>
      <w:r w:rsidRPr="00C523CB">
        <w:rPr>
          <w:i/>
          <w:iCs/>
          <w:noProof/>
          <w:sz w:val="16"/>
          <w:szCs w:val="22"/>
        </w:rPr>
        <w:t>Artif. Intell. Rev.</w:t>
      </w:r>
      <w:r w:rsidRPr="00C523CB">
        <w:rPr>
          <w:noProof/>
          <w:sz w:val="16"/>
          <w:szCs w:val="22"/>
        </w:rPr>
        <w:t>, vol. 52, no. 1, pp. 77–124, 2019, doi: 10.1007/s10462-018-09679-z.</w:t>
      </w:r>
    </w:p>
    <w:p w14:paraId="7A18DA45"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[3]</w:t>
      </w:r>
      <w:r w:rsidRPr="00C523CB">
        <w:rPr>
          <w:noProof/>
          <w:sz w:val="16"/>
          <w:szCs w:val="22"/>
        </w:rPr>
        <w:tab/>
        <w:t xml:space="preserve">C. Shorten and T. M. Khoshgoftaar, “A survey on Image Data Augmentation for Deep Learning,” </w:t>
      </w:r>
      <w:r w:rsidRPr="00C523CB">
        <w:rPr>
          <w:i/>
          <w:iCs/>
          <w:noProof/>
          <w:sz w:val="16"/>
          <w:szCs w:val="22"/>
        </w:rPr>
        <w:t>J. Big Data</w:t>
      </w:r>
      <w:r w:rsidRPr="00C523CB">
        <w:rPr>
          <w:noProof/>
          <w:sz w:val="16"/>
          <w:szCs w:val="22"/>
        </w:rPr>
        <w:t>, vol. 6, no. 1, 2019, doi: 10.1186/s40537-019-0197-0.</w:t>
      </w:r>
    </w:p>
    <w:p w14:paraId="267A7258"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[4]</w:t>
      </w:r>
      <w:r w:rsidRPr="00C523CB">
        <w:rPr>
          <w:noProof/>
          <w:sz w:val="16"/>
          <w:szCs w:val="22"/>
        </w:rPr>
        <w:tab/>
        <w:t xml:space="preserve">R. Vinayakumar, M. Alazab, K. P. Soman, P. Poornachandran, A. Al-Nemrat, and S. Venkatraman, “Deep Learning Approach for Intelligent Intrusion Detection System,” </w:t>
      </w:r>
      <w:r w:rsidRPr="00C523CB">
        <w:rPr>
          <w:i/>
          <w:iCs/>
          <w:noProof/>
          <w:sz w:val="16"/>
          <w:szCs w:val="22"/>
        </w:rPr>
        <w:t>IEEE Access</w:t>
      </w:r>
      <w:r w:rsidRPr="00C523CB">
        <w:rPr>
          <w:noProof/>
          <w:sz w:val="16"/>
          <w:szCs w:val="22"/>
        </w:rPr>
        <w:t>, vol. 7, pp. 41525–41550, 2019, doi: 10.1109/ACCESS.2019.2895334.</w:t>
      </w:r>
    </w:p>
    <w:p w14:paraId="42815563"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lastRenderedPageBreak/>
        <w:t>[5]</w:t>
      </w:r>
      <w:r w:rsidRPr="00C523CB">
        <w:rPr>
          <w:noProof/>
          <w:sz w:val="16"/>
          <w:szCs w:val="22"/>
        </w:rPr>
        <w:tab/>
        <w:t xml:space="preserve">K. Sivaraman, R. M. V. Krishnan, B. Sundarraj, and S. Sri Gowthem, “Network failure detection and diagnosis by analyzing syslog and SNS data: Applying big data analysis to network operations,” </w:t>
      </w:r>
      <w:r w:rsidRPr="00C523CB">
        <w:rPr>
          <w:i/>
          <w:iCs/>
          <w:noProof/>
          <w:sz w:val="16"/>
          <w:szCs w:val="22"/>
        </w:rPr>
        <w:t>Int. J. Innov. Technol. Explor. Eng.</w:t>
      </w:r>
      <w:r w:rsidRPr="00C523CB">
        <w:rPr>
          <w:noProof/>
          <w:sz w:val="16"/>
          <w:szCs w:val="22"/>
        </w:rPr>
        <w:t>, vol. 8, no. 9 Special Issue 3, pp. 883–887, 2019, doi: 10.35940/ijitee.I3187.0789S319.</w:t>
      </w:r>
    </w:p>
    <w:p w14:paraId="76B59260"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[6]</w:t>
      </w:r>
      <w:r w:rsidRPr="00C523CB">
        <w:rPr>
          <w:noProof/>
          <w:sz w:val="16"/>
          <w:szCs w:val="22"/>
        </w:rPr>
        <w:tab/>
        <w:t xml:space="preserve">A. D. Dwivedi, G. Srivastava, S. Dhar, and R. Singh, “A decentralized privacy-preserving healthcare blockchain for IoT,” </w:t>
      </w:r>
      <w:r w:rsidRPr="00C523CB">
        <w:rPr>
          <w:i/>
          <w:iCs/>
          <w:noProof/>
          <w:sz w:val="16"/>
          <w:szCs w:val="22"/>
        </w:rPr>
        <w:t>Sensors (Switzerland)</w:t>
      </w:r>
      <w:r w:rsidRPr="00C523CB">
        <w:rPr>
          <w:noProof/>
          <w:sz w:val="16"/>
          <w:szCs w:val="22"/>
        </w:rPr>
        <w:t>, vol. 19, no. 2, pp. 1–17, 2019, doi: 10.3390/s19020326.</w:t>
      </w:r>
    </w:p>
    <w:p w14:paraId="2EBD5DCB"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[7]</w:t>
      </w:r>
      <w:r w:rsidRPr="00C523CB">
        <w:rPr>
          <w:noProof/>
          <w:sz w:val="16"/>
          <w:szCs w:val="22"/>
        </w:rPr>
        <w:tab/>
        <w:t xml:space="preserve">F. Al-Turjman, H. Zahmatkesh, and L. Mostarda, “Quantifying uncertainty in internet of medical things and big-data services using intelligence and deep learning,” </w:t>
      </w:r>
      <w:r w:rsidRPr="00C523CB">
        <w:rPr>
          <w:i/>
          <w:iCs/>
          <w:noProof/>
          <w:sz w:val="16"/>
          <w:szCs w:val="22"/>
        </w:rPr>
        <w:t>IEEE Access</w:t>
      </w:r>
      <w:r w:rsidRPr="00C523CB">
        <w:rPr>
          <w:noProof/>
          <w:sz w:val="16"/>
          <w:szCs w:val="22"/>
        </w:rPr>
        <w:t>, vol. 7, pp. 115749–115759, 2019, doi: 10.1109/ACCESS.2019.2931637.</w:t>
      </w:r>
    </w:p>
    <w:p w14:paraId="31C40465"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[8]</w:t>
      </w:r>
      <w:r w:rsidRPr="00C523CB">
        <w:rPr>
          <w:noProof/>
          <w:sz w:val="16"/>
          <w:szCs w:val="22"/>
        </w:rPr>
        <w:tab/>
        <w:t xml:space="preserve">S. Kumar and M. Singh, “Big data analytics for healthcare industry: Impact, applications, and tools,” </w:t>
      </w:r>
      <w:r w:rsidRPr="00C523CB">
        <w:rPr>
          <w:i/>
          <w:iCs/>
          <w:noProof/>
          <w:sz w:val="16"/>
          <w:szCs w:val="22"/>
        </w:rPr>
        <w:t>Big Data Min. Anal.</w:t>
      </w:r>
      <w:r w:rsidRPr="00C523CB">
        <w:rPr>
          <w:noProof/>
          <w:sz w:val="16"/>
          <w:szCs w:val="22"/>
        </w:rPr>
        <w:t>, vol. 2, no. 1, pp. 48–57, 2019, doi: 10.26599/BDMA.2018.9020031.</w:t>
      </w:r>
    </w:p>
    <w:p w14:paraId="47E973C1"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[9]</w:t>
      </w:r>
      <w:r w:rsidRPr="00C523CB">
        <w:rPr>
          <w:noProof/>
          <w:sz w:val="16"/>
          <w:szCs w:val="22"/>
        </w:rPr>
        <w:tab/>
        <w:t xml:space="preserve">L. M. Ang, K. P. Seng, G. K. Ijemaru, and A. M. Zungeru, “Deployment of IoV for Smart Cities: Applications, Architecture, and Challenges,” </w:t>
      </w:r>
      <w:r w:rsidRPr="00C523CB">
        <w:rPr>
          <w:i/>
          <w:iCs/>
          <w:noProof/>
          <w:sz w:val="16"/>
          <w:szCs w:val="22"/>
        </w:rPr>
        <w:t>IEEE Access</w:t>
      </w:r>
      <w:r w:rsidRPr="00C523CB">
        <w:rPr>
          <w:noProof/>
          <w:sz w:val="16"/>
          <w:szCs w:val="22"/>
        </w:rPr>
        <w:t>, vol. 7, pp. 6473–6492, 2019, doi: 10.1109/ACCESS.2018.2887076.</w:t>
      </w:r>
    </w:p>
    <w:p w14:paraId="620A7D84"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[10]</w:t>
      </w:r>
      <w:r w:rsidRPr="00C523CB">
        <w:rPr>
          <w:noProof/>
          <w:sz w:val="16"/>
          <w:szCs w:val="22"/>
        </w:rPr>
        <w:tab/>
        <w:t xml:space="preserve">B. P. L. Lau </w:t>
      </w:r>
      <w:r w:rsidRPr="00C523CB">
        <w:rPr>
          <w:i/>
          <w:iCs/>
          <w:noProof/>
          <w:sz w:val="16"/>
          <w:szCs w:val="22"/>
        </w:rPr>
        <w:t>et al.</w:t>
      </w:r>
      <w:r w:rsidRPr="00C523CB">
        <w:rPr>
          <w:noProof/>
          <w:sz w:val="16"/>
          <w:szCs w:val="22"/>
        </w:rPr>
        <w:t xml:space="preserve">, “A survey of data fusion in smart city applications,” </w:t>
      </w:r>
      <w:r w:rsidRPr="00C523CB">
        <w:rPr>
          <w:i/>
          <w:iCs/>
          <w:noProof/>
          <w:sz w:val="16"/>
          <w:szCs w:val="22"/>
        </w:rPr>
        <w:t>Inf. Fusion</w:t>
      </w:r>
      <w:r w:rsidRPr="00C523CB">
        <w:rPr>
          <w:noProof/>
          <w:sz w:val="16"/>
          <w:szCs w:val="22"/>
        </w:rPr>
        <w:t>, vol. 52, no. January, pp. 357–374, 2019, doi: 10.1016/j.inffus.2019.05.004.</w:t>
      </w:r>
    </w:p>
    <w:p w14:paraId="477E18F4"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[11]</w:t>
      </w:r>
      <w:r w:rsidRPr="00C523CB">
        <w:rPr>
          <w:noProof/>
          <w:sz w:val="16"/>
          <w:szCs w:val="22"/>
        </w:rPr>
        <w:tab/>
        <w:t xml:space="preserve">Y. Wu </w:t>
      </w:r>
      <w:r w:rsidRPr="00C523CB">
        <w:rPr>
          <w:i/>
          <w:iCs/>
          <w:noProof/>
          <w:sz w:val="16"/>
          <w:szCs w:val="22"/>
        </w:rPr>
        <w:t>et al.</w:t>
      </w:r>
      <w:r w:rsidRPr="00C523CB">
        <w:rPr>
          <w:noProof/>
          <w:sz w:val="16"/>
          <w:szCs w:val="22"/>
        </w:rPr>
        <w:t xml:space="preserve">, “Large scale incremental learning,” </w:t>
      </w:r>
      <w:r w:rsidRPr="00C523CB">
        <w:rPr>
          <w:i/>
          <w:iCs/>
          <w:noProof/>
          <w:sz w:val="16"/>
          <w:szCs w:val="22"/>
        </w:rPr>
        <w:t>Proc. IEEE Comput. Soc. Conf. Comput. Vis. Pattern Recognit.</w:t>
      </w:r>
      <w:r w:rsidRPr="00C523CB">
        <w:rPr>
          <w:noProof/>
          <w:sz w:val="16"/>
          <w:szCs w:val="22"/>
        </w:rPr>
        <w:t>, vol. 2019-June, pp. 374–382, 2019, doi: 10.1109/CVPR.2019.00046.</w:t>
      </w:r>
    </w:p>
    <w:p w14:paraId="4B9026FA"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[12]</w:t>
      </w:r>
      <w:r w:rsidRPr="00C523CB">
        <w:rPr>
          <w:noProof/>
          <w:sz w:val="16"/>
          <w:szCs w:val="22"/>
        </w:rPr>
        <w:tab/>
        <w:t xml:space="preserve">A. Mosavi, S. Shamshirband, E. Salwana, K. wing Chau, and J. H. M. Tah, “Prediction of multi-inputs bubble column reactor using a novel hybrid model of computational fluid dynamics and machine learning,” </w:t>
      </w:r>
      <w:r w:rsidRPr="00C523CB">
        <w:rPr>
          <w:i/>
          <w:iCs/>
          <w:noProof/>
          <w:sz w:val="16"/>
          <w:szCs w:val="22"/>
        </w:rPr>
        <w:t>Eng. Appl. Comput. Fluid Mech.</w:t>
      </w:r>
      <w:r w:rsidRPr="00C523CB">
        <w:rPr>
          <w:noProof/>
          <w:sz w:val="16"/>
          <w:szCs w:val="22"/>
        </w:rPr>
        <w:t>, vol. 13, no. 1, pp. 482–492, 2019, doi: 10.1080/19942060.2019.1613448.</w:t>
      </w:r>
    </w:p>
    <w:p w14:paraId="74341298" w14:textId="030D2C38" w:rsidR="00E619D6" w:rsidRPr="00C523CB" w:rsidRDefault="00E619D6" w:rsidP="00E619D6">
      <w:pPr>
        <w:widowControl w:val="0"/>
        <w:autoSpaceDE w:val="0"/>
        <w:autoSpaceDN w:val="0"/>
        <w:adjustRightInd w:val="0"/>
        <w:ind w:left="426" w:hanging="426"/>
        <w:jc w:val="both"/>
        <w:rPr>
          <w:noProof/>
          <w:spacing w:val="-2"/>
          <w:sz w:val="16"/>
          <w:szCs w:val="22"/>
        </w:rPr>
      </w:pPr>
      <w:r w:rsidRPr="00C523CB">
        <w:rPr>
          <w:noProof/>
          <w:sz w:val="16"/>
          <w:szCs w:val="22"/>
        </w:rPr>
        <w:t>[13]</w:t>
      </w:r>
      <w:r w:rsidRPr="00C523CB">
        <w:rPr>
          <w:noProof/>
          <w:sz w:val="16"/>
          <w:szCs w:val="22"/>
        </w:rPr>
        <w:tab/>
      </w:r>
      <w:r w:rsidRPr="00C523CB">
        <w:rPr>
          <w:noProof/>
          <w:spacing w:val="-2"/>
          <w:sz w:val="16"/>
          <w:szCs w:val="22"/>
        </w:rPr>
        <w:t xml:space="preserve">V. Palanisamy and R. Thirunavukarasu, “Implications of big data analytics in developing healthcare frameworks – A review,” </w:t>
      </w:r>
      <w:r w:rsidRPr="00C523CB">
        <w:rPr>
          <w:i/>
          <w:iCs/>
          <w:noProof/>
          <w:spacing w:val="-2"/>
          <w:sz w:val="16"/>
          <w:szCs w:val="22"/>
        </w:rPr>
        <w:t>J. King Saud Univ. - Comput. Inf. Sci.</w:t>
      </w:r>
      <w:r w:rsidRPr="00C523CB">
        <w:rPr>
          <w:noProof/>
          <w:spacing w:val="-2"/>
          <w:sz w:val="16"/>
          <w:szCs w:val="22"/>
        </w:rPr>
        <w:t>, vol. 31, no. 4, pp. 415–425, 2019, doi: 10.1016/j.jksuci.2017.12.007.</w:t>
      </w:r>
    </w:p>
    <w:p w14:paraId="0CBA3FE4"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[14]</w:t>
      </w:r>
      <w:r w:rsidRPr="00C523CB">
        <w:rPr>
          <w:noProof/>
          <w:sz w:val="16"/>
          <w:szCs w:val="22"/>
        </w:rPr>
        <w:tab/>
        <w:t xml:space="preserve">J. Sadowski, “When data is capital: Datafication, accumulation, and extraction,” </w:t>
      </w:r>
      <w:r w:rsidRPr="00C523CB">
        <w:rPr>
          <w:i/>
          <w:iCs/>
          <w:noProof/>
          <w:sz w:val="16"/>
          <w:szCs w:val="22"/>
        </w:rPr>
        <w:t>Big Data Soc.</w:t>
      </w:r>
      <w:r w:rsidRPr="00C523CB">
        <w:rPr>
          <w:noProof/>
          <w:sz w:val="16"/>
          <w:szCs w:val="22"/>
        </w:rPr>
        <w:t>, vol. 6, no. 1, pp. 1–12, 2019, doi: 10.1177/2053951718820549.</w:t>
      </w:r>
    </w:p>
    <w:p w14:paraId="6031CC3E"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[15]</w:t>
      </w:r>
      <w:r w:rsidRPr="00C523CB">
        <w:rPr>
          <w:noProof/>
          <w:sz w:val="16"/>
          <w:szCs w:val="22"/>
        </w:rPr>
        <w:tab/>
        <w:t xml:space="preserve">J. R. Saura, B. R. Herraez, and A. Reyes-Menendez, “Comparing a traditional approach for financial brand communication analysis with a big data analytics technique,” </w:t>
      </w:r>
      <w:r w:rsidRPr="00C523CB">
        <w:rPr>
          <w:i/>
          <w:iCs/>
          <w:noProof/>
          <w:sz w:val="16"/>
          <w:szCs w:val="22"/>
        </w:rPr>
        <w:t>IEEE Access</w:t>
      </w:r>
      <w:r w:rsidRPr="00C523CB">
        <w:rPr>
          <w:noProof/>
          <w:sz w:val="16"/>
          <w:szCs w:val="22"/>
        </w:rPr>
        <w:t>, vol. 7, pp. 37100–37108, 2019, doi: 10.1109/ACCESS.2019.2905301.</w:t>
      </w:r>
    </w:p>
    <w:p w14:paraId="71754C20"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[16]</w:t>
      </w:r>
      <w:r w:rsidRPr="00C523CB">
        <w:rPr>
          <w:noProof/>
          <w:sz w:val="16"/>
          <w:szCs w:val="22"/>
        </w:rPr>
        <w:tab/>
        <w:t xml:space="preserve">D. Nallaperuma </w:t>
      </w:r>
      <w:r w:rsidRPr="00C523CB">
        <w:rPr>
          <w:i/>
          <w:iCs/>
          <w:noProof/>
          <w:sz w:val="16"/>
          <w:szCs w:val="22"/>
        </w:rPr>
        <w:t>et al.</w:t>
      </w:r>
      <w:r w:rsidRPr="00C523CB">
        <w:rPr>
          <w:noProof/>
          <w:sz w:val="16"/>
          <w:szCs w:val="22"/>
        </w:rPr>
        <w:t xml:space="preserve">, “Online Incremental Machine Learning Platform for Big Data-Driven Smart Traffic Management,” </w:t>
      </w:r>
      <w:r w:rsidRPr="00C523CB">
        <w:rPr>
          <w:i/>
          <w:iCs/>
          <w:noProof/>
          <w:sz w:val="16"/>
          <w:szCs w:val="22"/>
        </w:rPr>
        <w:t>IEEE Trans. Intell. Transp. Syst.</w:t>
      </w:r>
      <w:r w:rsidRPr="00C523CB">
        <w:rPr>
          <w:noProof/>
          <w:sz w:val="16"/>
          <w:szCs w:val="22"/>
        </w:rPr>
        <w:t>, vol. 20, no. 12, pp. 4679–4690, 2019, doi: 10.1109/TITS.2019.2924883.</w:t>
      </w:r>
    </w:p>
    <w:p w14:paraId="3BF64D27"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[17]</w:t>
      </w:r>
      <w:r w:rsidRPr="00C523CB">
        <w:rPr>
          <w:noProof/>
          <w:sz w:val="16"/>
          <w:szCs w:val="22"/>
        </w:rPr>
        <w:tab/>
        <w:t xml:space="preserve">S. Schulz, M. Becker, M. R. Groseclose, S. Schadt, and C. Hopf, “Advanced MALDI mass spectrometry imaging in pharmaceutical research and drug development,” </w:t>
      </w:r>
      <w:r w:rsidRPr="00C523CB">
        <w:rPr>
          <w:i/>
          <w:iCs/>
          <w:noProof/>
          <w:sz w:val="16"/>
          <w:szCs w:val="22"/>
        </w:rPr>
        <w:t>Curr. Opin. Biotechnol.</w:t>
      </w:r>
      <w:r w:rsidRPr="00C523CB">
        <w:rPr>
          <w:noProof/>
          <w:sz w:val="16"/>
          <w:szCs w:val="22"/>
        </w:rPr>
        <w:t>, vol. 55, pp. 51–59, 2019, doi: 10.1016/j.copbio.2018.08.003.</w:t>
      </w:r>
    </w:p>
    <w:p w14:paraId="72FAAFCD"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[18]</w:t>
      </w:r>
      <w:r w:rsidRPr="00C523CB">
        <w:rPr>
          <w:noProof/>
          <w:sz w:val="16"/>
          <w:szCs w:val="22"/>
        </w:rPr>
        <w:tab/>
        <w:t xml:space="preserve">C. Shang and F. You, “Data Analytics and Machine Learning for Smart Process Manufacturing: Recent Advances and Perspectives in the Big Data Era,” </w:t>
      </w:r>
      <w:r w:rsidRPr="00C523CB">
        <w:rPr>
          <w:i/>
          <w:iCs/>
          <w:noProof/>
          <w:sz w:val="16"/>
          <w:szCs w:val="22"/>
        </w:rPr>
        <w:t>Engineering</w:t>
      </w:r>
      <w:r w:rsidRPr="00C523CB">
        <w:rPr>
          <w:noProof/>
          <w:sz w:val="16"/>
          <w:szCs w:val="22"/>
        </w:rPr>
        <w:t>, vol. 5, no. 6, pp. 1010–1016, 2019, doi: 10.1016/j.eng.2019.01.019.</w:t>
      </w:r>
    </w:p>
    <w:p w14:paraId="16373520"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[19]</w:t>
      </w:r>
      <w:r w:rsidRPr="00C523CB">
        <w:rPr>
          <w:noProof/>
          <w:sz w:val="16"/>
          <w:szCs w:val="22"/>
        </w:rPr>
        <w:tab/>
        <w:t xml:space="preserve">Y. Yu, M. Li, L. Liu, Y. Li, and J. Wang, “Clinical big data and deep learning: Applications, challenges, and future outlooks,” </w:t>
      </w:r>
      <w:r w:rsidRPr="00C523CB">
        <w:rPr>
          <w:i/>
          <w:iCs/>
          <w:noProof/>
          <w:sz w:val="16"/>
          <w:szCs w:val="22"/>
        </w:rPr>
        <w:t>Big Data Min. Anal.</w:t>
      </w:r>
      <w:r w:rsidRPr="00C523CB">
        <w:rPr>
          <w:noProof/>
          <w:sz w:val="16"/>
          <w:szCs w:val="22"/>
        </w:rPr>
        <w:t>, vol. 2, no. 4, pp. 288–305, 2019, doi: 10.26599/BDMA.2019.9020007.</w:t>
      </w:r>
    </w:p>
    <w:p w14:paraId="5EFDC498"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[20]</w:t>
      </w:r>
      <w:r w:rsidRPr="00C523CB">
        <w:rPr>
          <w:noProof/>
          <w:sz w:val="16"/>
          <w:szCs w:val="22"/>
        </w:rPr>
        <w:tab/>
        <w:t xml:space="preserve">M. Huang, W. Liu, T. Wang, H. Song, X. Li, and A. Liu, “A queuing delay utilization scheme for on-path service aggregation in services-oriented computing networks,” </w:t>
      </w:r>
      <w:r w:rsidRPr="00C523CB">
        <w:rPr>
          <w:i/>
          <w:iCs/>
          <w:noProof/>
          <w:sz w:val="16"/>
          <w:szCs w:val="22"/>
        </w:rPr>
        <w:t>IEEE Access</w:t>
      </w:r>
      <w:r w:rsidRPr="00C523CB">
        <w:rPr>
          <w:noProof/>
          <w:sz w:val="16"/>
          <w:szCs w:val="22"/>
        </w:rPr>
        <w:t>, vol. 7, pp. 23816–23833, 2019, doi: 10.1109/ACCESS.2019.2899402.</w:t>
      </w:r>
    </w:p>
    <w:p w14:paraId="486BEF5B"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lastRenderedPageBreak/>
        <w:t>[21]</w:t>
      </w:r>
      <w:r w:rsidRPr="00C523CB">
        <w:rPr>
          <w:noProof/>
          <w:sz w:val="16"/>
          <w:szCs w:val="22"/>
        </w:rPr>
        <w:tab/>
        <w:t xml:space="preserve">G. Xu, Y. Shi, X. Sun, and W. Shen, “Internet of things in marine environment monitoring: A review,” </w:t>
      </w:r>
      <w:r w:rsidRPr="00C523CB">
        <w:rPr>
          <w:i/>
          <w:iCs/>
          <w:noProof/>
          <w:sz w:val="16"/>
          <w:szCs w:val="22"/>
        </w:rPr>
        <w:t>Sensors (Switzerland)</w:t>
      </w:r>
      <w:r w:rsidRPr="00C523CB">
        <w:rPr>
          <w:noProof/>
          <w:sz w:val="16"/>
          <w:szCs w:val="22"/>
        </w:rPr>
        <w:t>, vol. 19, no. 7, pp. 1–21, 2019, doi: 10.3390/s19071711.</w:t>
      </w:r>
    </w:p>
    <w:p w14:paraId="6FCA64BA"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[22]</w:t>
      </w:r>
      <w:r w:rsidRPr="00C523CB">
        <w:rPr>
          <w:noProof/>
          <w:sz w:val="16"/>
          <w:szCs w:val="22"/>
        </w:rPr>
        <w:tab/>
        <w:t xml:space="preserve">M. Aqib, R. Mehmood, A. Alzahrani, I. Katib, A. Albeshri, and S. M. Altowaijri, </w:t>
      </w:r>
      <w:r w:rsidRPr="00C523CB">
        <w:rPr>
          <w:i/>
          <w:iCs/>
          <w:noProof/>
          <w:sz w:val="16"/>
          <w:szCs w:val="22"/>
        </w:rPr>
        <w:t>Smarter traffic prediction using big data, in-memory computing, deep learning and gpus</w:t>
      </w:r>
      <w:r w:rsidRPr="00C523CB">
        <w:rPr>
          <w:noProof/>
          <w:sz w:val="16"/>
          <w:szCs w:val="22"/>
        </w:rPr>
        <w:t>, vol. 19, no. 9. 2019.</w:t>
      </w:r>
    </w:p>
    <w:p w14:paraId="42871846"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[23]</w:t>
      </w:r>
      <w:r w:rsidRPr="00C523CB">
        <w:rPr>
          <w:noProof/>
          <w:sz w:val="16"/>
          <w:szCs w:val="22"/>
        </w:rPr>
        <w:tab/>
        <w:t xml:space="preserve">S. Leonelli and N. Tempini, </w:t>
      </w:r>
      <w:r w:rsidRPr="00C523CB">
        <w:rPr>
          <w:i/>
          <w:iCs/>
          <w:noProof/>
          <w:sz w:val="16"/>
          <w:szCs w:val="22"/>
        </w:rPr>
        <w:t>Data Journeys in the Sciences</w:t>
      </w:r>
      <w:r w:rsidRPr="00C523CB">
        <w:rPr>
          <w:noProof/>
          <w:sz w:val="16"/>
          <w:szCs w:val="22"/>
        </w:rPr>
        <w:t>. 2020.</w:t>
      </w:r>
    </w:p>
    <w:p w14:paraId="53BB1410" w14:textId="77777777" w:rsidR="00E619D6" w:rsidRPr="00C523CB" w:rsidRDefault="00E619D6" w:rsidP="00E619D6">
      <w:pPr>
        <w:widowControl w:val="0"/>
        <w:autoSpaceDE w:val="0"/>
        <w:autoSpaceDN w:val="0"/>
        <w:adjustRightInd w:val="0"/>
        <w:ind w:left="426" w:hanging="426"/>
        <w:jc w:val="both"/>
        <w:rPr>
          <w:noProof/>
          <w:sz w:val="16"/>
          <w:szCs w:val="22"/>
        </w:rPr>
      </w:pPr>
      <w:r w:rsidRPr="00C523CB">
        <w:rPr>
          <w:noProof/>
          <w:sz w:val="16"/>
          <w:szCs w:val="22"/>
        </w:rPr>
        <w:t>[24]</w:t>
      </w:r>
      <w:r w:rsidRPr="00C523CB">
        <w:rPr>
          <w:noProof/>
          <w:sz w:val="16"/>
          <w:szCs w:val="22"/>
        </w:rPr>
        <w:tab/>
        <w:t xml:space="preserve">N. Stylos and J. Zwiegelaar, </w:t>
      </w:r>
      <w:r w:rsidRPr="00C523CB">
        <w:rPr>
          <w:i/>
          <w:iCs/>
          <w:noProof/>
          <w:sz w:val="16"/>
          <w:szCs w:val="22"/>
        </w:rPr>
        <w:t>Big Data as a Game Changer: How Does It Shape Business Intelligence Within a Tourism and Hospitality Industry Context?</w:t>
      </w:r>
      <w:r w:rsidRPr="00C523CB">
        <w:rPr>
          <w:noProof/>
          <w:sz w:val="16"/>
          <w:szCs w:val="22"/>
        </w:rPr>
        <w:t xml:space="preserve"> 2019.</w:t>
      </w:r>
    </w:p>
    <w:p w14:paraId="7D0EF40C" w14:textId="03D49530" w:rsidR="00E619D6" w:rsidRPr="003D6B19" w:rsidRDefault="00E619D6" w:rsidP="00612242">
      <w:pPr>
        <w:widowControl w:val="0"/>
        <w:autoSpaceDE w:val="0"/>
        <w:autoSpaceDN w:val="0"/>
        <w:adjustRightInd w:val="0"/>
        <w:ind w:left="426" w:hanging="426"/>
        <w:jc w:val="both"/>
        <w:rPr>
          <w:color w:val="000000"/>
          <w:sz w:val="18"/>
          <w:szCs w:val="18"/>
        </w:rPr>
      </w:pPr>
      <w:r w:rsidRPr="00C523CB">
        <w:rPr>
          <w:noProof/>
          <w:sz w:val="16"/>
          <w:szCs w:val="22"/>
        </w:rPr>
        <w:t>[25]</w:t>
      </w:r>
      <w:r w:rsidRPr="00C523CB">
        <w:rPr>
          <w:noProof/>
          <w:sz w:val="16"/>
          <w:szCs w:val="22"/>
        </w:rPr>
        <w:tab/>
        <w:t xml:space="preserve">Q. Song, H. Ge, J. Caverlee, and X. Hu, “Tensor completion algorithms in big data analytics,” </w:t>
      </w:r>
      <w:r w:rsidRPr="00C523CB">
        <w:rPr>
          <w:i/>
          <w:iCs/>
          <w:noProof/>
          <w:sz w:val="16"/>
          <w:szCs w:val="22"/>
        </w:rPr>
        <w:t>arXiv</w:t>
      </w:r>
      <w:r w:rsidRPr="00C523CB">
        <w:rPr>
          <w:noProof/>
          <w:sz w:val="16"/>
          <w:szCs w:val="22"/>
        </w:rPr>
        <w:t>, vol. 13, no. 1, 2017.</w:t>
      </w:r>
      <w:r w:rsidRPr="00C523CB">
        <w:rPr>
          <w:color w:val="000000"/>
          <w:sz w:val="16"/>
          <w:szCs w:val="16"/>
        </w:rPr>
        <w:fldChar w:fldCharType="end"/>
      </w:r>
    </w:p>
    <w:p w14:paraId="41B57CED" w14:textId="0D6C0012" w:rsidR="00E619D6" w:rsidRDefault="00E619D6" w:rsidP="00E619D6">
      <w:pPr>
        <w:ind w:left="426" w:hanging="426"/>
        <w:jc w:val="both"/>
        <w:rPr>
          <w:color w:val="000000"/>
        </w:rPr>
      </w:pPr>
    </w:p>
    <w:p w14:paraId="034B7DC5" w14:textId="77777777" w:rsidR="00612242" w:rsidRPr="003D6B19" w:rsidRDefault="00612242" w:rsidP="00E619D6">
      <w:pPr>
        <w:ind w:left="426" w:hanging="426"/>
        <w:jc w:val="both"/>
        <w:rPr>
          <w:color w:val="000000"/>
        </w:rPr>
      </w:pPr>
    </w:p>
    <w:p w14:paraId="23D31E93" w14:textId="77777777" w:rsidR="00874EAA" w:rsidRDefault="00874EAA">
      <w:pPr>
        <w:rPr>
          <w:rStyle w:val="apple-style-span"/>
          <w:b/>
          <w:color w:val="000000"/>
          <w:lang w:val="pt-BR"/>
        </w:rPr>
      </w:pPr>
      <w:r>
        <w:rPr>
          <w:rStyle w:val="apple-style-span"/>
          <w:b/>
          <w:color w:val="000000"/>
          <w:lang w:val="pt-BR"/>
        </w:rPr>
        <w:br w:type="page"/>
      </w:r>
    </w:p>
    <w:p w14:paraId="6A8660A5" w14:textId="7548BF4C" w:rsidR="00E619D6" w:rsidRDefault="00E619D6" w:rsidP="00E619D6">
      <w:pPr>
        <w:rPr>
          <w:b/>
          <w:bCs/>
        </w:rPr>
      </w:pPr>
      <w:r w:rsidRPr="003D6B19">
        <w:rPr>
          <w:rStyle w:val="apple-style-span"/>
          <w:b/>
          <w:color w:val="000000"/>
          <w:lang w:val="pt-BR"/>
        </w:rPr>
        <w:lastRenderedPageBreak/>
        <w:t xml:space="preserve">BIOGRAPHIES OF AUTHORS </w:t>
      </w:r>
      <w:r w:rsidRPr="003D6B19">
        <w:rPr>
          <w:b/>
          <w:bCs/>
        </w:rPr>
        <w:t xml:space="preserve">(10 PT) </w:t>
      </w:r>
    </w:p>
    <w:p w14:paraId="02DFB4E8" w14:textId="77777777" w:rsidR="00874EAA" w:rsidRPr="003D6B19" w:rsidRDefault="00874EAA" w:rsidP="00E619D6">
      <w:pPr>
        <w:rPr>
          <w:b/>
          <w:bCs/>
        </w:rPr>
      </w:pPr>
    </w:p>
    <w:p w14:paraId="270D2187" w14:textId="77777777" w:rsidR="00153B62" w:rsidRPr="003D6B19" w:rsidRDefault="00153B62" w:rsidP="00153B62">
      <w:pPr>
        <w:rPr>
          <w:b/>
          <w:bCs/>
        </w:rPr>
      </w:pPr>
      <w:r w:rsidRPr="003D6B19">
        <w:rPr>
          <w:b/>
          <w:bCs/>
        </w:rPr>
        <w:t>The recommended number of authors is at least 2. One of them as a corresponding author.</w:t>
      </w:r>
    </w:p>
    <w:p w14:paraId="3DCC128F" w14:textId="77777777" w:rsidR="00153B62" w:rsidRPr="003D6B19" w:rsidRDefault="00153B62" w:rsidP="00153B62">
      <w:pPr>
        <w:rPr>
          <w:i/>
          <w:iCs/>
        </w:rPr>
      </w:pPr>
      <w:bookmarkStart w:id="18" w:name="_Hlk78375417"/>
      <w:r w:rsidRPr="003D6B19">
        <w:rPr>
          <w:i/>
          <w:iCs/>
        </w:rPr>
        <w:t>Please attach clear photo (3x4 cm) and vita. Example of biographies of authors:</w:t>
      </w:r>
    </w:p>
    <w:bookmarkEnd w:id="18"/>
    <w:p w14:paraId="58F0C71C" w14:textId="77777777" w:rsidR="00153B62" w:rsidRPr="003D6B19" w:rsidRDefault="00153B62" w:rsidP="00153B62">
      <w:pPr>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7061"/>
      </w:tblGrid>
      <w:tr w:rsidR="00A67CD8" w:rsidRPr="003D6B19" w14:paraId="188B9496" w14:textId="77777777" w:rsidTr="00A61C92">
        <w:trPr>
          <w:trHeight w:val="1547"/>
        </w:trPr>
        <w:tc>
          <w:tcPr>
            <w:tcW w:w="1079" w:type="pct"/>
          </w:tcPr>
          <w:p w14:paraId="17EFEDB3" w14:textId="39D2FE85" w:rsidR="00A67CD8" w:rsidRPr="003D6B19" w:rsidRDefault="0093175D" w:rsidP="00A67CD8">
            <w:pPr>
              <w:jc w:val="center"/>
              <w:rPr>
                <w:color w:val="000000"/>
                <w:highlight w:val="yellow"/>
                <w:lang w:val="pt-BR"/>
              </w:rPr>
            </w:pPr>
            <w:r>
              <w:rPr>
                <w:noProof/>
              </w:rPr>
              <w:drawing>
                <wp:inline distT="0" distB="0" distL="0" distR="0" wp14:anchorId="6E7B0C5B" wp14:editId="59E6E3F7">
                  <wp:extent cx="1080000" cy="1438910"/>
                  <wp:effectExtent l="0" t="0" r="635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13">
                            <a:extLst>
                              <a:ext uri="{28A0092B-C50C-407E-A947-70E740481C1C}">
                                <a14:useLocalDpi xmlns:a14="http://schemas.microsoft.com/office/drawing/2010/main" val="0"/>
                              </a:ext>
                            </a:extLst>
                          </a:blip>
                          <a:srcRect l="7993" r="4106"/>
                          <a:stretch/>
                        </pic:blipFill>
                        <pic:spPr bwMode="auto">
                          <a:xfrm>
                            <a:off x="0" y="0"/>
                            <a:ext cx="1080000" cy="14389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6A7EABA4" w14:textId="4B662E98" w:rsidR="00A67CD8" w:rsidRPr="003D6B19" w:rsidRDefault="0093175D" w:rsidP="00A67CD8">
            <w:pPr>
              <w:jc w:val="both"/>
              <w:rPr>
                <w:color w:val="000000"/>
                <w:highlight w:val="yellow"/>
                <w:lang w:val="pt-BR"/>
              </w:rPr>
            </w:pPr>
            <w:r w:rsidRPr="0093175D">
              <w:rPr>
                <w:b/>
                <w:bCs/>
                <w:color w:val="000000"/>
                <w:sz w:val="18"/>
                <w:szCs w:val="18"/>
              </w:rPr>
              <w:t xml:space="preserve">Saad Mekhilef </w:t>
            </w:r>
            <w:r w:rsidR="00A67CD8">
              <w:rPr>
                <w:noProof/>
                <w:color w:val="000000"/>
                <w:sz w:val="18"/>
                <w:szCs w:val="18"/>
              </w:rPr>
              <w:drawing>
                <wp:inline distT="0" distB="0" distL="0" distR="0" wp14:anchorId="3AAD5EBD" wp14:editId="704E6BE3">
                  <wp:extent cx="114935" cy="114935"/>
                  <wp:effectExtent l="0" t="0" r="0" b="0"/>
                  <wp:docPr id="23" name="Picture 2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49B43811" wp14:editId="548B62C3">
                  <wp:extent cx="114935" cy="114935"/>
                  <wp:effectExtent l="0" t="0" r="0" b="0"/>
                  <wp:docPr id="24" name="Picture 2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6C56B47C" wp14:editId="378F5CB9">
                  <wp:extent cx="114935" cy="114935"/>
                  <wp:effectExtent l="0" t="0" r="0" b="0"/>
                  <wp:docPr id="25" name="Graphic 25">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5" name="Graphic 25">
                            <a:hlinkClick r:id="rId18"/>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114935" cy="114935"/>
                          </a:xfrm>
                          <a:prstGeom prst="rect">
                            <a:avLst/>
                          </a:prstGeom>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0362EC7C" wp14:editId="552F42DD">
                  <wp:extent cx="114935" cy="11493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Pr="0093175D">
              <w:rPr>
                <w:color w:val="000000"/>
                <w:sz w:val="18"/>
                <w:szCs w:val="18"/>
              </w:rPr>
              <w:t xml:space="preserve">received the B.Eng. degree in electrical engineering from the University of Setif, Setif, Algeria, in 1995, and the master’s degree in engineering science and the Ph.D. degree in electrical engineering from the University of Malaya, Kuala Lumpur, Malaysia, in 1998 and 2003, respectively. He is currently a Professor and the Director of the Power Electronics and Renewable Energy Research Laboratory, Department of Electrical Engineering, University of Malaya, where he is also the Dean of the Faculty of Engineering. He is also a Distinguished Adjunct Professor with the School of Software and Electrical Engineering, Faculty of Science, Engineering and Technology, Swinburne University of Technology, VIC, Australia. His current research interests include power converter topologies, the control of power converters, renewable energy, and energy efficiency. </w:t>
            </w:r>
            <w:r w:rsidR="00A67CD8" w:rsidRPr="00CC7B7A">
              <w:rPr>
                <w:color w:val="000000"/>
                <w:sz w:val="18"/>
                <w:szCs w:val="18"/>
              </w:rPr>
              <w:t>He can be contacted at email:</w:t>
            </w:r>
            <w:r w:rsidR="00A67CD8">
              <w:rPr>
                <w:color w:val="000000"/>
                <w:sz w:val="18"/>
                <w:szCs w:val="18"/>
              </w:rPr>
              <w:t xml:space="preserve"> </w:t>
            </w:r>
            <w:r w:rsidRPr="0093175D">
              <w:rPr>
                <w:color w:val="000000"/>
                <w:sz w:val="18"/>
                <w:szCs w:val="18"/>
              </w:rPr>
              <w:t>saad@um.edu.my</w:t>
            </w:r>
            <w:r w:rsidR="00A67CD8">
              <w:rPr>
                <w:color w:val="000000"/>
                <w:sz w:val="18"/>
                <w:szCs w:val="18"/>
              </w:rPr>
              <w:t>.</w:t>
            </w:r>
          </w:p>
        </w:tc>
      </w:tr>
      <w:tr w:rsidR="00A67CD8" w:rsidRPr="003D6B19" w14:paraId="396DB499" w14:textId="77777777" w:rsidTr="00A61C92">
        <w:tc>
          <w:tcPr>
            <w:tcW w:w="1079" w:type="pct"/>
          </w:tcPr>
          <w:p w14:paraId="28136686" w14:textId="0068352E" w:rsidR="00A67CD8" w:rsidRPr="003D6B19" w:rsidRDefault="00A67CD8" w:rsidP="00A67CD8">
            <w:pPr>
              <w:jc w:val="center"/>
              <w:rPr>
                <w:color w:val="000000"/>
                <w:highlight w:val="yellow"/>
                <w:lang w:val="pt-BR"/>
              </w:rPr>
            </w:pPr>
            <w:bookmarkStart w:id="19" w:name="_Hlk78354998"/>
          </w:p>
        </w:tc>
        <w:tc>
          <w:tcPr>
            <w:tcW w:w="3921" w:type="pct"/>
          </w:tcPr>
          <w:p w14:paraId="0B50E4FF" w14:textId="2FB9A7D4" w:rsidR="00A67CD8" w:rsidRPr="003D6B19" w:rsidRDefault="00A67CD8" w:rsidP="00A67CD8">
            <w:pPr>
              <w:jc w:val="both"/>
              <w:rPr>
                <w:color w:val="000000"/>
                <w:highlight w:val="yellow"/>
                <w:lang w:val="pt-BR"/>
              </w:rPr>
            </w:pPr>
          </w:p>
        </w:tc>
      </w:tr>
      <w:tr w:rsidR="00A67CD8" w:rsidRPr="003D6B19" w14:paraId="1CE3D06B" w14:textId="77777777" w:rsidTr="00A61C92">
        <w:tc>
          <w:tcPr>
            <w:tcW w:w="1079" w:type="pct"/>
          </w:tcPr>
          <w:p w14:paraId="40B620A2" w14:textId="488E7195" w:rsidR="00A67CD8" w:rsidRPr="003D6B19" w:rsidRDefault="00A67CD8" w:rsidP="00A67CD8">
            <w:pPr>
              <w:jc w:val="center"/>
              <w:rPr>
                <w:color w:val="000000"/>
                <w:highlight w:val="yellow"/>
                <w:lang w:val="pt-BR"/>
              </w:rPr>
            </w:pPr>
            <w:r>
              <w:rPr>
                <w:noProof/>
              </w:rPr>
              <w:drawing>
                <wp:inline distT="0" distB="0" distL="0" distR="0" wp14:anchorId="1BA82B16" wp14:editId="1D89A92F">
                  <wp:extent cx="1080000" cy="1440000"/>
                  <wp:effectExtent l="0" t="0" r="6350" b="8255"/>
                  <wp:docPr id="32" name="Picture 32" descr="C:\Users\User\AppData\Local\Microsoft\Windows\INetCache\Content.MSO\F4BA6C40.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F4BA6C40.tmp"/>
                          <pic:cNvPicPr preferRelativeResize="0">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20000"/>
                                    </a14:imgEffect>
                                  </a14:imgLayer>
                                </a14:imgProps>
                              </a:ext>
                              <a:ext uri="{28A0092B-C50C-407E-A947-70E740481C1C}">
                                <a14:useLocalDpi xmlns:a14="http://schemas.microsoft.com/office/drawing/2010/main" val="0"/>
                              </a:ext>
                            </a:extLst>
                          </a:blip>
                          <a:srcRect t="14546"/>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260EB288" w14:textId="5425524B" w:rsidR="00A67CD8" w:rsidRPr="003D6B19" w:rsidRDefault="00A67CD8" w:rsidP="00A67CD8">
            <w:pPr>
              <w:jc w:val="both"/>
              <w:rPr>
                <w:color w:val="000000"/>
                <w:sz w:val="18"/>
                <w:szCs w:val="18"/>
                <w:highlight w:val="yellow"/>
              </w:rPr>
            </w:pPr>
            <w:r w:rsidRPr="00971F15">
              <w:rPr>
                <w:b/>
                <w:bCs/>
                <w:color w:val="000000"/>
                <w:sz w:val="18"/>
                <w:szCs w:val="18"/>
              </w:rPr>
              <w:t xml:space="preserve">Oscar Castillo </w:t>
            </w:r>
            <w:r>
              <w:rPr>
                <w:noProof/>
                <w:color w:val="000000"/>
                <w:sz w:val="18"/>
                <w:szCs w:val="18"/>
              </w:rPr>
              <w:drawing>
                <wp:inline distT="0" distB="0" distL="0" distR="0" wp14:anchorId="4DBDB775" wp14:editId="18BF2486">
                  <wp:extent cx="114935" cy="114935"/>
                  <wp:effectExtent l="0" t="0" r="0" b="0"/>
                  <wp:docPr id="20" name="Picture 2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1B49446F" wp14:editId="104E66AF">
                  <wp:extent cx="114935" cy="114935"/>
                  <wp:effectExtent l="0" t="0" r="0" b="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13F46F0F" wp14:editId="2E5CCFC2">
                  <wp:extent cx="114935" cy="114935"/>
                  <wp:effectExtent l="0" t="0" r="0" b="0"/>
                  <wp:docPr id="18" name="Graphic 18">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Graphic 18">
                            <a:hlinkClick r:id="rId27"/>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95A076B" wp14:editId="67FEFFA3">
                  <wp:extent cx="114935" cy="114935"/>
                  <wp:effectExtent l="0" t="0" r="0" b="0"/>
                  <wp:docPr id="17" name="Picture 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28"/>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71F15">
              <w:rPr>
                <w:color w:val="000000"/>
                <w:sz w:val="18"/>
                <w:szCs w:val="18"/>
              </w:rPr>
              <w:t>received the D.Sc. degree (Doctor Habilitatus) in computer science from the Polish Academy of Sciences, Warsaw, Poland, with the Dissertation “Soft Computing and Fractal Theory for Intelligent Manufacturing”</w:t>
            </w:r>
            <w:r>
              <w:rPr>
                <w:color w:val="000000"/>
                <w:sz w:val="18"/>
                <w:szCs w:val="18"/>
              </w:rPr>
              <w:t xml:space="preserve">. </w:t>
            </w:r>
            <w:r w:rsidRPr="00971F15">
              <w:rPr>
                <w:color w:val="000000"/>
                <w:sz w:val="18"/>
                <w:szCs w:val="18"/>
              </w:rPr>
              <w:t>He is a Professor of computer science in the Graduate Division, Tijuana Institute of Technology, Tijuana, Mexico. In addition, he is serving as Research Director of computer science and Head of the research group on fuzzy logic and genetic algorithms. He is currently the Vice-President of Hispanic American Fuzzy Systems Association (HAFSA) and President Elect of International Fuzzy Systems Association (IFSA). He has published over 80 journal papers, 6 authored books, 20 edited books, and 200 papers in conference proceedings. His research interests are in Type-2 Fuzzy Logic, Fuzzy Control, Neuro-Fuzzy and Genetic-Fuzzy hybrid approaches.</w:t>
            </w:r>
            <w:r>
              <w:rPr>
                <w:color w:val="000000"/>
                <w:sz w:val="18"/>
                <w:szCs w:val="18"/>
              </w:rPr>
              <w:t xml:space="preserve"> H</w:t>
            </w:r>
            <w:r w:rsidRPr="00105D69">
              <w:rPr>
                <w:color w:val="000000"/>
                <w:sz w:val="18"/>
                <w:szCs w:val="18"/>
              </w:rPr>
              <w:t xml:space="preserve">e can be contacted at email: </w:t>
            </w:r>
            <w:r w:rsidRPr="00B9642F">
              <w:rPr>
                <w:color w:val="000000"/>
                <w:sz w:val="18"/>
                <w:szCs w:val="18"/>
              </w:rPr>
              <w:t>ocastillo@tectijuana.mx</w:t>
            </w:r>
            <w:r>
              <w:rPr>
                <w:color w:val="000000"/>
                <w:sz w:val="18"/>
                <w:szCs w:val="18"/>
              </w:rPr>
              <w:t>.</w:t>
            </w:r>
          </w:p>
        </w:tc>
      </w:tr>
      <w:tr w:rsidR="00A67CD8" w:rsidRPr="003D6B19" w14:paraId="7577BAD6" w14:textId="77777777" w:rsidTr="00A61C92">
        <w:trPr>
          <w:trHeight w:val="64"/>
        </w:trPr>
        <w:tc>
          <w:tcPr>
            <w:tcW w:w="1079" w:type="pct"/>
          </w:tcPr>
          <w:p w14:paraId="780785F8" w14:textId="77777777" w:rsidR="00A67CD8" w:rsidRPr="003D6B19" w:rsidRDefault="00A67CD8" w:rsidP="00A67CD8">
            <w:pPr>
              <w:jc w:val="center"/>
              <w:rPr>
                <w:noProof/>
              </w:rPr>
            </w:pPr>
          </w:p>
        </w:tc>
        <w:tc>
          <w:tcPr>
            <w:tcW w:w="3921" w:type="pct"/>
          </w:tcPr>
          <w:p w14:paraId="53AB80C4" w14:textId="77777777" w:rsidR="00A67CD8" w:rsidRPr="003D6B19" w:rsidRDefault="00A67CD8" w:rsidP="00A67CD8">
            <w:pPr>
              <w:jc w:val="both"/>
              <w:rPr>
                <w:b/>
                <w:bCs/>
                <w:color w:val="000000"/>
                <w:sz w:val="18"/>
                <w:szCs w:val="18"/>
              </w:rPr>
            </w:pPr>
          </w:p>
        </w:tc>
      </w:tr>
      <w:tr w:rsidR="00A67CD8" w:rsidRPr="003D6B19" w14:paraId="14C83E89" w14:textId="77777777" w:rsidTr="00A61C92">
        <w:trPr>
          <w:trHeight w:val="64"/>
        </w:trPr>
        <w:tc>
          <w:tcPr>
            <w:tcW w:w="1079" w:type="pct"/>
          </w:tcPr>
          <w:p w14:paraId="0DAFE366" w14:textId="0C27A49B" w:rsidR="00A67CD8" w:rsidRPr="00A73A62" w:rsidRDefault="00A67CD8" w:rsidP="00A67CD8">
            <w:pPr>
              <w:jc w:val="center"/>
              <w:rPr>
                <w:noProof/>
                <w:sz w:val="24"/>
                <w:szCs w:val="24"/>
              </w:rPr>
            </w:pPr>
            <w:r w:rsidRPr="0087393C">
              <w:rPr>
                <w:noProof/>
                <w:sz w:val="24"/>
                <w:szCs w:val="24"/>
              </w:rPr>
              <w:drawing>
                <wp:inline distT="0" distB="0" distL="0" distR="0" wp14:anchorId="67E29318" wp14:editId="7A31E6CF">
                  <wp:extent cx="1080000" cy="1440000"/>
                  <wp:effectExtent l="0" t="0" r="6350" b="8255"/>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29">
                            <a:extLst>
                              <a:ext uri="{28A0092B-C50C-407E-A947-70E740481C1C}">
                                <a14:useLocalDpi xmlns:a14="http://schemas.microsoft.com/office/drawing/2010/main" val="0"/>
                              </a:ext>
                            </a:extLst>
                          </a:blip>
                          <a:srcRect l="11601" r="15992" b="35714"/>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2FB3837E" w14:textId="677081B7" w:rsidR="00A67CD8" w:rsidRPr="00075E2D" w:rsidRDefault="00A67CD8" w:rsidP="00A67CD8">
            <w:pPr>
              <w:jc w:val="both"/>
              <w:rPr>
                <w:b/>
                <w:bCs/>
                <w:color w:val="000000"/>
                <w:sz w:val="18"/>
                <w:szCs w:val="18"/>
              </w:rPr>
            </w:pPr>
            <w:bookmarkStart w:id="20" w:name="_Hlk81227280"/>
            <w:r w:rsidRPr="00971F15">
              <w:rPr>
                <w:b/>
                <w:bCs/>
                <w:color w:val="000000"/>
                <w:sz w:val="18"/>
                <w:szCs w:val="18"/>
              </w:rPr>
              <w:t xml:space="preserve">Patricia Melin </w:t>
            </w:r>
            <w:bookmarkEnd w:id="20"/>
            <w:r>
              <w:rPr>
                <w:noProof/>
                <w:color w:val="000000"/>
                <w:sz w:val="18"/>
                <w:szCs w:val="18"/>
              </w:rPr>
              <w:drawing>
                <wp:inline distT="0" distB="0" distL="0" distR="0" wp14:anchorId="622D46AF" wp14:editId="7DFD956A">
                  <wp:extent cx="114935" cy="114935"/>
                  <wp:effectExtent l="0" t="0" r="0" b="0"/>
                  <wp:docPr id="28" name="Picture 2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3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045A0EA7" wp14:editId="0DF0DBFC">
                  <wp:extent cx="114935" cy="114935"/>
                  <wp:effectExtent l="0" t="0" r="0" b="0"/>
                  <wp:docPr id="29" name="Picture 2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31"/>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6C3418AD" wp14:editId="25A3A5A7">
                  <wp:extent cx="114935" cy="114935"/>
                  <wp:effectExtent l="0" t="0" r="0" b="0"/>
                  <wp:docPr id="30" name="Graphic 30">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30" name="Graphic 30">
                            <a:hlinkClick r:id="rId32"/>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216B470" wp14:editId="0C14EC15">
                  <wp:extent cx="114935" cy="114935"/>
                  <wp:effectExtent l="0" t="0" r="0" b="0"/>
                  <wp:docPr id="31" name="Picture 3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33"/>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71F15">
              <w:rPr>
                <w:color w:val="000000"/>
                <w:sz w:val="18"/>
                <w:szCs w:val="18"/>
              </w:rPr>
              <w:t>received the D.Sc. degree (Doctor Habilitatus D.Sc.) in computer science from the Polish Academy of Sciences, Warsaw, Poland, with the Dissertation “Hybrid Intelligent Systems for Pattern Recognition using Soft Computing”</w:t>
            </w:r>
            <w:r>
              <w:rPr>
                <w:color w:val="000000"/>
                <w:sz w:val="18"/>
                <w:szCs w:val="18"/>
              </w:rPr>
              <w:t>.</w:t>
            </w:r>
            <w:r w:rsidRPr="00971F15">
              <w:rPr>
                <w:color w:val="000000"/>
                <w:sz w:val="18"/>
                <w:szCs w:val="18"/>
              </w:rPr>
              <w:t xml:space="preserve"> She is a Professor of Computer Science in the Graduate Division, Tijuana Institute of Technology, Tijuana, Mexico since 1998. In addition, she is serving as Director of Graduate Studies in computer science and Head of the research group on Computational Intelligence (2000–present). Her research interests are in Type-2 Fuzzy Logic, Modular Neural Networks, Pattern Recognition, Neuro-Fuzzy and Genetic-Fuzzy hybrid approaches., She is currently the President of Hispanic American Fuzzy Systems Association (HAFSA) and is the founding Chair of the Mexican Chapter of the IEEE Computational Intelligence Society. </w:t>
            </w:r>
            <w:r>
              <w:rPr>
                <w:color w:val="000000"/>
                <w:sz w:val="18"/>
                <w:szCs w:val="18"/>
              </w:rPr>
              <w:t>Sh</w:t>
            </w:r>
            <w:r w:rsidRPr="00105D69">
              <w:rPr>
                <w:color w:val="000000"/>
                <w:sz w:val="18"/>
                <w:szCs w:val="18"/>
              </w:rPr>
              <w:t xml:space="preserve">e can be contacted at email: </w:t>
            </w:r>
            <w:r w:rsidRPr="00EA2B1D">
              <w:rPr>
                <w:color w:val="000000"/>
                <w:sz w:val="18"/>
                <w:szCs w:val="18"/>
              </w:rPr>
              <w:t>pmelin@tectijuana.mx</w:t>
            </w:r>
            <w:r>
              <w:rPr>
                <w:color w:val="000000"/>
                <w:sz w:val="18"/>
                <w:szCs w:val="18"/>
              </w:rPr>
              <w:t>.</w:t>
            </w:r>
          </w:p>
        </w:tc>
      </w:tr>
      <w:bookmarkEnd w:id="19"/>
    </w:tbl>
    <w:p w14:paraId="37D0DB45" w14:textId="77777777" w:rsidR="00E619D6" w:rsidRPr="003D6B19" w:rsidRDefault="00E619D6" w:rsidP="00F15BF4">
      <w:pPr>
        <w:ind w:firstLine="720"/>
        <w:jc w:val="both"/>
        <w:rPr>
          <w:iCs/>
          <w:lang w:val="en-ID"/>
        </w:rPr>
      </w:pPr>
    </w:p>
    <w:sectPr w:rsidR="00E619D6" w:rsidRPr="003D6B19" w:rsidSect="002A276C">
      <w:headerReference w:type="even" r:id="rId34"/>
      <w:headerReference w:type="default" r:id="rId35"/>
      <w:footerReference w:type="even" r:id="rId36"/>
      <w:footerReference w:type="default" r:id="rId37"/>
      <w:headerReference w:type="first" r:id="rId38"/>
      <w:footerReference w:type="first" r:id="rId39"/>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258D4" w14:textId="77777777" w:rsidR="005F29D1" w:rsidRDefault="005F29D1">
      <w:r>
        <w:separator/>
      </w:r>
    </w:p>
  </w:endnote>
  <w:endnote w:type="continuationSeparator" w:id="0">
    <w:p w14:paraId="5263AD2F" w14:textId="77777777" w:rsidR="005F29D1" w:rsidRDefault="005F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62BC2" w14:textId="24ADC624"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5920" behindDoc="0" locked="0" layoutInCell="1" allowOverlap="1" wp14:anchorId="307E942D" wp14:editId="4824D50D">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685A8" id="Line 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n8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pLJul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"/>
          </w:pict>
        </mc:Fallback>
      </mc:AlternateContent>
    </w:r>
    <w:r w:rsidR="00525D24">
      <w:t>TEL</w:t>
    </w:r>
    <w:r w:rsidR="00525D24" w:rsidRPr="008B3F47">
      <w:rPr>
        <w:noProof/>
        <w:lang w:val="en-GB" w:eastAsia="en-GB"/>
      </w:rPr>
      <w:t>KOMNIKA</w:t>
    </w:r>
    <w:r w:rsidR="00525D24">
      <w:rPr>
        <w:noProof/>
        <w:lang w:val="en-GB" w:eastAsia="en-GB"/>
      </w:rPr>
      <w:t xml:space="preserve"> </w:t>
    </w:r>
    <w:r w:rsidR="00525D24" w:rsidRPr="00B50C1D">
      <w:rPr>
        <w:noProof/>
        <w:lang w:val="en-GB" w:eastAsia="en-GB"/>
      </w:rPr>
      <w:t>Telecommun</w:t>
    </w:r>
    <w:r w:rsidR="00525D24">
      <w:rPr>
        <w:noProof/>
        <w:lang w:val="en-GB" w:eastAsia="en-GB"/>
      </w:rPr>
      <w:t xml:space="preserve"> Comput El </w:t>
    </w:r>
    <w:r w:rsidR="00525D24" w:rsidRPr="00B54218">
      <w:rPr>
        <w:noProof/>
        <w:lang w:val="en-GB" w:eastAsia="en-GB"/>
      </w:rPr>
      <w:t>Control</w:t>
    </w:r>
    <w:r w:rsidR="00525D24" w:rsidRPr="00B54218">
      <w:t xml:space="preserve">, Vol. </w:t>
    </w:r>
    <w:r w:rsidR="00E554F6">
      <w:t>99</w:t>
    </w:r>
    <w:r w:rsidR="00525D24" w:rsidRPr="00B54218">
      <w:t xml:space="preserve">, No. </w:t>
    </w:r>
    <w:r w:rsidR="00E554F6">
      <w:t>1</w:t>
    </w:r>
    <w:r w:rsidR="00525D24" w:rsidRPr="00B54218">
      <w:t>, Month 20</w:t>
    </w:r>
    <w:r w:rsidR="00E554F6">
      <w:t>99</w:t>
    </w:r>
    <w:r w:rsidR="00525D24" w:rsidRPr="00B54218">
      <w:t xml:space="preserve">: </w:t>
    </w:r>
    <w:r w:rsidR="00E554F6">
      <w:t>1</w:t>
    </w:r>
    <w:r w:rsidR="00525D24" w:rsidRPr="00B54218">
      <w:t>-</w:t>
    </w:r>
    <w:r w:rsidR="00E554F6">
      <w:t>1x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63360" behindDoc="0" locked="0" layoutInCell="1" allowOverlap="1" wp14:anchorId="62A3734C" wp14:editId="41DCFD9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F5AAD"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i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1DD03" w14:textId="1AF45B70"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6192" behindDoc="0" locked="0" layoutInCell="1" allowOverlap="1" wp14:anchorId="066E0B6C" wp14:editId="3C59DF62">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ABF610"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mP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OZhPINxBURVamdDg/SkXsyzpt8dUrrqiGp5DH49G8jNQkbyJiVcnIEi++GzZhBDAD/O&#10;6tTYPkDCFNApSnK+ScJPHlH4OJtn8zQF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"/>
          </w:pict>
        </mc:Fallback>
      </mc:AlternateContent>
    </w:r>
    <w:r w:rsidR="00C854C1" w:rsidRPr="00C854C1">
      <w:rPr>
        <w:b/>
        <w:i/>
        <w:szCs w:val="18"/>
      </w:rPr>
      <w:t>Journal homepage</w:t>
    </w:r>
    <w:r w:rsidR="00C854C1">
      <w:rPr>
        <w:i/>
        <w:szCs w:val="18"/>
      </w:rPr>
      <w:t xml:space="preserve">: </w:t>
    </w:r>
    <w:r w:rsidR="00525D24" w:rsidRPr="00D2728B">
      <w:rPr>
        <w:i/>
        <w:szCs w:val="18"/>
      </w:rPr>
      <w:t>http://journal.uad.ac.id/index.php/TELKOMNIKA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75376" w14:textId="77777777" w:rsidR="005F29D1" w:rsidRDefault="005F29D1">
      <w:r>
        <w:separator/>
      </w:r>
    </w:p>
  </w:footnote>
  <w:footnote w:type="continuationSeparator" w:id="0">
    <w:p w14:paraId="7EABC1A2" w14:textId="77777777" w:rsidR="005F29D1" w:rsidRDefault="005F2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192AF630"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3120" behindDoc="0" locked="0" layoutInCell="1" allowOverlap="1" wp14:anchorId="36240665" wp14:editId="20538040">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32B5E5"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q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FjGM9gXAFRldra0CA9qlfzoul3h5SuOqJaHoPfTgZys5CRvEsJF2egyG74rBnEEMCP&#10;szo2tg+QMAV0jJKcbpLwo0cUPk5n2SxNQTl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bookmarkStart w:id="21" w:name="_Hlk24008618"/>
    <w:r w:rsidR="00525D24" w:rsidRPr="008B3F47">
      <w:t>1693-6930</w:t>
    </w:r>
    <w:bookmarkEnd w:id="2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72D04B55" w14:textId="75ACA36A" w:rsidR="00097958" w:rsidRPr="003D5B84" w:rsidRDefault="00525D24" w:rsidP="00222701">
    <w:pPr>
      <w:pStyle w:val="Header"/>
      <w:tabs>
        <w:tab w:val="clear" w:pos="4320"/>
        <w:tab w:val="clear" w:pos="8640"/>
        <w:tab w:val="left" w:pos="0"/>
        <w:tab w:val="center" w:pos="4301"/>
        <w:tab w:val="left" w:pos="7938"/>
      </w:tabs>
    </w:pPr>
    <w:r w:rsidRPr="008B3F47">
      <w:rPr>
        <w:noProof/>
        <w:lang w:val="en-GB" w:eastAsia="en-GB"/>
      </w:rPr>
      <w:t>TELKOMNIKA</w:t>
    </w:r>
    <w:r>
      <w:rPr>
        <w:noProof/>
        <w:lang w:val="en-GB" w:eastAsia="en-GB"/>
      </w:rPr>
      <w:t xml:space="preserve"> </w:t>
    </w:r>
    <w:r w:rsidRPr="00B50C1D">
      <w:rPr>
        <w:noProof/>
        <w:lang w:val="en-GB" w:eastAsia="en-GB"/>
      </w:rPr>
      <w:t>Telecommun</w:t>
    </w:r>
    <w:r>
      <w:rPr>
        <w:noProof/>
        <w:lang w:val="en-GB" w:eastAsia="en-GB"/>
      </w:rPr>
      <w:t xml:space="preserve"> Comput El Control</w:t>
    </w:r>
    <w:r w:rsidR="00A93117">
      <w:rPr>
        <w:noProof/>
        <w:lang w:val="en-GB" w:eastAsia="en-GB"/>
      </w:rPr>
      <w:tab/>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9264" behindDoc="0" locked="0" layoutInCell="1" allowOverlap="1" wp14:anchorId="485510DB" wp14:editId="3E6BC9AD">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CCB029"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nb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ugh7GcwroCwSm1tmJAe1at51vS7Q0pXHVEtj8FvJwO5WchI3qWEizNQZTd80QxiCODH&#10;ZR0b2wdIWAM6Rk5ON0740SMKH6ezbJam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17" w14:textId="77777777" w:rsidR="00525D24" w:rsidRPr="005936BD" w:rsidRDefault="00525D24" w:rsidP="00525D24">
    <w:pPr>
      <w:pStyle w:val="Header"/>
      <w:tabs>
        <w:tab w:val="clear" w:pos="4320"/>
        <w:tab w:val="clear" w:pos="8640"/>
      </w:tabs>
      <w:ind w:right="45"/>
      <w:rPr>
        <w:b/>
        <w:bCs/>
      </w:rPr>
    </w:pPr>
    <w:r w:rsidRPr="005936BD">
      <w:rPr>
        <w:b/>
        <w:bCs/>
      </w:rPr>
      <w:t>TELKOMNIKA Telecommunication Computing Electronics and Control</w:t>
    </w:r>
  </w:p>
  <w:p w14:paraId="1DC0266F" w14:textId="77777777" w:rsidR="00E554F6" w:rsidRPr="00E554F6" w:rsidRDefault="00E554F6" w:rsidP="00E554F6">
    <w:pPr>
      <w:pStyle w:val="Header"/>
      <w:tabs>
        <w:tab w:val="clear" w:pos="4320"/>
        <w:tab w:val="clear" w:pos="8640"/>
      </w:tabs>
      <w:ind w:right="45"/>
    </w:pPr>
    <w:bookmarkStart w:id="22" w:name="_Hlk80000548"/>
    <w:r w:rsidRPr="00E554F6">
      <w:t>Vol. 99, No. 1, Month 2099, pp. 1~1x</w:t>
    </w:r>
  </w:p>
  <w:bookmarkEnd w:id="22"/>
  <w:p w14:paraId="2A371CCD" w14:textId="302308D6" w:rsidR="00097958" w:rsidRDefault="00525D24" w:rsidP="00525D24">
    <w:pPr>
      <w:pStyle w:val="Header"/>
      <w:tabs>
        <w:tab w:val="clear" w:pos="4320"/>
        <w:tab w:val="clear" w:pos="8640"/>
        <w:tab w:val="left" w:pos="7938"/>
        <w:tab w:val="right" w:pos="8789"/>
      </w:tabs>
      <w:rPr>
        <w:rStyle w:val="PageNumber"/>
      </w:rPr>
    </w:pPr>
    <w:r w:rsidRPr="005936BD">
      <w:t xml:space="preserve">ISSN: </w:t>
    </w:r>
    <w:bookmarkStart w:id="23" w:name="_Hlk24008550"/>
    <w:r w:rsidRPr="005936BD">
      <w:t>1693-6930</w:t>
    </w:r>
    <w:bookmarkEnd w:id="23"/>
    <w:r w:rsidRPr="005936BD">
      <w:t>, DOI: 10.12928/TELKOMNIKA.v</w:t>
    </w:r>
    <w:r w:rsidR="00E554F6">
      <w:t>99</w:t>
    </w:r>
    <w:r w:rsidRPr="005936BD">
      <w:t>i</w:t>
    </w:r>
    <w:r w:rsidR="00E554F6">
      <w:t>1</w:t>
    </w:r>
    <w:r w:rsidRPr="005936BD">
      <w:t>.paper</w:t>
    </w:r>
    <w:r>
      <w:t>ID</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17ADA">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55680" behindDoc="0" locked="0" layoutInCell="1" allowOverlap="1" wp14:anchorId="480481AD" wp14:editId="65CB1E6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76479F"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z3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M2zeZq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4"/>
  </w:num>
  <w:num w:numId="2">
    <w:abstractNumId w:val="9"/>
  </w:num>
  <w:num w:numId="3">
    <w:abstractNumId w:val="18"/>
  </w:num>
  <w:num w:numId="4">
    <w:abstractNumId w:val="8"/>
  </w:num>
  <w:num w:numId="5">
    <w:abstractNumId w:val="11"/>
  </w:num>
  <w:num w:numId="6">
    <w:abstractNumId w:val="15"/>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7"/>
  </w:num>
  <w:num w:numId="16">
    <w:abstractNumId w:val="5"/>
  </w:num>
  <w:num w:numId="17">
    <w:abstractNumId w:val="1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7"/>
  </w:num>
  <w:num w:numId="2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formatting="1" w:enforcement="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5E2D"/>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41EB"/>
    <w:rsid w:val="001045B1"/>
    <w:rsid w:val="00104BF1"/>
    <w:rsid w:val="00105D69"/>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0F32"/>
    <w:rsid w:val="001414E2"/>
    <w:rsid w:val="001434C3"/>
    <w:rsid w:val="001441CB"/>
    <w:rsid w:val="00144CB0"/>
    <w:rsid w:val="00145453"/>
    <w:rsid w:val="0014611F"/>
    <w:rsid w:val="00146861"/>
    <w:rsid w:val="00146FBB"/>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4493"/>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715EC"/>
    <w:rsid w:val="00373753"/>
    <w:rsid w:val="0037476F"/>
    <w:rsid w:val="003751C8"/>
    <w:rsid w:val="00376867"/>
    <w:rsid w:val="00376A96"/>
    <w:rsid w:val="003772AC"/>
    <w:rsid w:val="0038168A"/>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F35"/>
    <w:rsid w:val="00443205"/>
    <w:rsid w:val="004439D2"/>
    <w:rsid w:val="004503E9"/>
    <w:rsid w:val="00453463"/>
    <w:rsid w:val="00453F49"/>
    <w:rsid w:val="00454966"/>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5D24"/>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47A"/>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0292"/>
    <w:rsid w:val="005C11D6"/>
    <w:rsid w:val="005C12EA"/>
    <w:rsid w:val="005C1759"/>
    <w:rsid w:val="005C234E"/>
    <w:rsid w:val="005C4941"/>
    <w:rsid w:val="005D02EE"/>
    <w:rsid w:val="005D0C1B"/>
    <w:rsid w:val="005D210E"/>
    <w:rsid w:val="005D3D27"/>
    <w:rsid w:val="005D464B"/>
    <w:rsid w:val="005D7D3A"/>
    <w:rsid w:val="005D7EB1"/>
    <w:rsid w:val="005E51F9"/>
    <w:rsid w:val="005E6EF7"/>
    <w:rsid w:val="005E7007"/>
    <w:rsid w:val="005E736A"/>
    <w:rsid w:val="005E75FC"/>
    <w:rsid w:val="005F042D"/>
    <w:rsid w:val="005F29D1"/>
    <w:rsid w:val="005F3D1C"/>
    <w:rsid w:val="005F534C"/>
    <w:rsid w:val="005F75F8"/>
    <w:rsid w:val="0060348A"/>
    <w:rsid w:val="0060379D"/>
    <w:rsid w:val="006044C7"/>
    <w:rsid w:val="00612242"/>
    <w:rsid w:val="006123B6"/>
    <w:rsid w:val="00613977"/>
    <w:rsid w:val="0061627D"/>
    <w:rsid w:val="00617711"/>
    <w:rsid w:val="006206C7"/>
    <w:rsid w:val="00622EC4"/>
    <w:rsid w:val="0062488B"/>
    <w:rsid w:val="006327F1"/>
    <w:rsid w:val="00636167"/>
    <w:rsid w:val="00644417"/>
    <w:rsid w:val="00647075"/>
    <w:rsid w:val="00652EBE"/>
    <w:rsid w:val="006549EF"/>
    <w:rsid w:val="00655972"/>
    <w:rsid w:val="00655C14"/>
    <w:rsid w:val="00656420"/>
    <w:rsid w:val="0065699B"/>
    <w:rsid w:val="00656AAA"/>
    <w:rsid w:val="00657116"/>
    <w:rsid w:val="00662070"/>
    <w:rsid w:val="0066237A"/>
    <w:rsid w:val="006628A9"/>
    <w:rsid w:val="0066416E"/>
    <w:rsid w:val="00665A9F"/>
    <w:rsid w:val="00665B37"/>
    <w:rsid w:val="00665DA0"/>
    <w:rsid w:val="006719D8"/>
    <w:rsid w:val="0067364F"/>
    <w:rsid w:val="00675D81"/>
    <w:rsid w:val="00676455"/>
    <w:rsid w:val="00676EB9"/>
    <w:rsid w:val="00682510"/>
    <w:rsid w:val="00682661"/>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4DA"/>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6481"/>
    <w:rsid w:val="006F7480"/>
    <w:rsid w:val="0070124C"/>
    <w:rsid w:val="007017C6"/>
    <w:rsid w:val="007027BB"/>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5A1F"/>
    <w:rsid w:val="00747DFD"/>
    <w:rsid w:val="00753C3E"/>
    <w:rsid w:val="00754329"/>
    <w:rsid w:val="007547A1"/>
    <w:rsid w:val="00756A93"/>
    <w:rsid w:val="0075769A"/>
    <w:rsid w:val="00760506"/>
    <w:rsid w:val="00765DEF"/>
    <w:rsid w:val="00766E46"/>
    <w:rsid w:val="00770E6E"/>
    <w:rsid w:val="00771A7C"/>
    <w:rsid w:val="0077230A"/>
    <w:rsid w:val="00772725"/>
    <w:rsid w:val="00773306"/>
    <w:rsid w:val="00773EB7"/>
    <w:rsid w:val="007751AA"/>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4EAA"/>
    <w:rsid w:val="008754E6"/>
    <w:rsid w:val="0087776F"/>
    <w:rsid w:val="0088233C"/>
    <w:rsid w:val="0088280A"/>
    <w:rsid w:val="00883EB7"/>
    <w:rsid w:val="00884999"/>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2AB"/>
    <w:rsid w:val="00921B30"/>
    <w:rsid w:val="00921D05"/>
    <w:rsid w:val="0092257C"/>
    <w:rsid w:val="00923121"/>
    <w:rsid w:val="00925CC8"/>
    <w:rsid w:val="009314C3"/>
    <w:rsid w:val="0093175D"/>
    <w:rsid w:val="009317FD"/>
    <w:rsid w:val="009406FF"/>
    <w:rsid w:val="00941203"/>
    <w:rsid w:val="009416C1"/>
    <w:rsid w:val="0094264B"/>
    <w:rsid w:val="0094367D"/>
    <w:rsid w:val="00943FA1"/>
    <w:rsid w:val="00945A5C"/>
    <w:rsid w:val="00946389"/>
    <w:rsid w:val="0094738D"/>
    <w:rsid w:val="00950EF7"/>
    <w:rsid w:val="00954DC1"/>
    <w:rsid w:val="00955462"/>
    <w:rsid w:val="009558D7"/>
    <w:rsid w:val="00956EB6"/>
    <w:rsid w:val="00956F83"/>
    <w:rsid w:val="00957064"/>
    <w:rsid w:val="00957C11"/>
    <w:rsid w:val="009617A9"/>
    <w:rsid w:val="009665BE"/>
    <w:rsid w:val="009673AB"/>
    <w:rsid w:val="00970E84"/>
    <w:rsid w:val="00971153"/>
    <w:rsid w:val="00971F15"/>
    <w:rsid w:val="00981036"/>
    <w:rsid w:val="0098116E"/>
    <w:rsid w:val="00981E5F"/>
    <w:rsid w:val="00983846"/>
    <w:rsid w:val="00990CC8"/>
    <w:rsid w:val="0099227E"/>
    <w:rsid w:val="009949C5"/>
    <w:rsid w:val="00997C10"/>
    <w:rsid w:val="009A19B2"/>
    <w:rsid w:val="009B3EC0"/>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100B6"/>
    <w:rsid w:val="00A1136A"/>
    <w:rsid w:val="00A135A2"/>
    <w:rsid w:val="00A142CD"/>
    <w:rsid w:val="00A16250"/>
    <w:rsid w:val="00A17296"/>
    <w:rsid w:val="00A17ADA"/>
    <w:rsid w:val="00A17D28"/>
    <w:rsid w:val="00A21621"/>
    <w:rsid w:val="00A22457"/>
    <w:rsid w:val="00A22900"/>
    <w:rsid w:val="00A31E71"/>
    <w:rsid w:val="00A3312E"/>
    <w:rsid w:val="00A3340E"/>
    <w:rsid w:val="00A338E2"/>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1C92"/>
    <w:rsid w:val="00A6214E"/>
    <w:rsid w:val="00A6261F"/>
    <w:rsid w:val="00A662A3"/>
    <w:rsid w:val="00A6661A"/>
    <w:rsid w:val="00A6697F"/>
    <w:rsid w:val="00A67CD8"/>
    <w:rsid w:val="00A71C8A"/>
    <w:rsid w:val="00A71ED6"/>
    <w:rsid w:val="00A760E0"/>
    <w:rsid w:val="00A77E76"/>
    <w:rsid w:val="00A80090"/>
    <w:rsid w:val="00A82646"/>
    <w:rsid w:val="00A85A64"/>
    <w:rsid w:val="00A92430"/>
    <w:rsid w:val="00A93117"/>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5A92"/>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809F3"/>
    <w:rsid w:val="00B85932"/>
    <w:rsid w:val="00B87588"/>
    <w:rsid w:val="00B92474"/>
    <w:rsid w:val="00B9642F"/>
    <w:rsid w:val="00B96D0A"/>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359C"/>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23CB"/>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9178F"/>
    <w:rsid w:val="00C93F76"/>
    <w:rsid w:val="00C9655A"/>
    <w:rsid w:val="00C96FCA"/>
    <w:rsid w:val="00C9754D"/>
    <w:rsid w:val="00C975DF"/>
    <w:rsid w:val="00CA5D84"/>
    <w:rsid w:val="00CC1960"/>
    <w:rsid w:val="00CD4F70"/>
    <w:rsid w:val="00CE1CF3"/>
    <w:rsid w:val="00CE4BC0"/>
    <w:rsid w:val="00CE70F3"/>
    <w:rsid w:val="00CE7659"/>
    <w:rsid w:val="00CF0E18"/>
    <w:rsid w:val="00CF29A4"/>
    <w:rsid w:val="00CF2F2E"/>
    <w:rsid w:val="00CF4D01"/>
    <w:rsid w:val="00CF624D"/>
    <w:rsid w:val="00CF6E34"/>
    <w:rsid w:val="00D045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398"/>
    <w:rsid w:val="00D624E5"/>
    <w:rsid w:val="00D634A8"/>
    <w:rsid w:val="00D64C3D"/>
    <w:rsid w:val="00D65A1C"/>
    <w:rsid w:val="00D67099"/>
    <w:rsid w:val="00D71939"/>
    <w:rsid w:val="00D72523"/>
    <w:rsid w:val="00D72D27"/>
    <w:rsid w:val="00D73317"/>
    <w:rsid w:val="00D743C8"/>
    <w:rsid w:val="00D743DA"/>
    <w:rsid w:val="00D744B5"/>
    <w:rsid w:val="00D745B1"/>
    <w:rsid w:val="00D74C5F"/>
    <w:rsid w:val="00D753F3"/>
    <w:rsid w:val="00D772DC"/>
    <w:rsid w:val="00D879AF"/>
    <w:rsid w:val="00D87D61"/>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3F37"/>
    <w:rsid w:val="00DB43B8"/>
    <w:rsid w:val="00DB7BD1"/>
    <w:rsid w:val="00DB7C8A"/>
    <w:rsid w:val="00DC2DC5"/>
    <w:rsid w:val="00DC341B"/>
    <w:rsid w:val="00DD0E87"/>
    <w:rsid w:val="00DD2BCD"/>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DF5B6A"/>
    <w:rsid w:val="00E0168F"/>
    <w:rsid w:val="00E12071"/>
    <w:rsid w:val="00E12660"/>
    <w:rsid w:val="00E12838"/>
    <w:rsid w:val="00E15BBF"/>
    <w:rsid w:val="00E15ECD"/>
    <w:rsid w:val="00E230D8"/>
    <w:rsid w:val="00E239E2"/>
    <w:rsid w:val="00E23F00"/>
    <w:rsid w:val="00E2599A"/>
    <w:rsid w:val="00E26A0F"/>
    <w:rsid w:val="00E305A0"/>
    <w:rsid w:val="00E318D4"/>
    <w:rsid w:val="00E339EE"/>
    <w:rsid w:val="00E3557A"/>
    <w:rsid w:val="00E4014C"/>
    <w:rsid w:val="00E401FC"/>
    <w:rsid w:val="00E42D1B"/>
    <w:rsid w:val="00E4558E"/>
    <w:rsid w:val="00E46C0B"/>
    <w:rsid w:val="00E46FAB"/>
    <w:rsid w:val="00E474DC"/>
    <w:rsid w:val="00E5155C"/>
    <w:rsid w:val="00E52FF2"/>
    <w:rsid w:val="00E5385B"/>
    <w:rsid w:val="00E554F6"/>
    <w:rsid w:val="00E55EA9"/>
    <w:rsid w:val="00E56307"/>
    <w:rsid w:val="00E56D55"/>
    <w:rsid w:val="00E56F52"/>
    <w:rsid w:val="00E57D47"/>
    <w:rsid w:val="00E57F76"/>
    <w:rsid w:val="00E6043C"/>
    <w:rsid w:val="00E60696"/>
    <w:rsid w:val="00E607BC"/>
    <w:rsid w:val="00E6152A"/>
    <w:rsid w:val="00E619D6"/>
    <w:rsid w:val="00E62028"/>
    <w:rsid w:val="00E6393C"/>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B1D"/>
    <w:rsid w:val="00EA2C41"/>
    <w:rsid w:val="00EA4376"/>
    <w:rsid w:val="00EA5A34"/>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754D"/>
    <w:rsid w:val="00F027E9"/>
    <w:rsid w:val="00F0775E"/>
    <w:rsid w:val="00F15BF4"/>
    <w:rsid w:val="00F15F69"/>
    <w:rsid w:val="00F1612D"/>
    <w:rsid w:val="00F173DD"/>
    <w:rsid w:val="00F21119"/>
    <w:rsid w:val="00F25164"/>
    <w:rsid w:val="00F277D3"/>
    <w:rsid w:val="00F30997"/>
    <w:rsid w:val="00F32896"/>
    <w:rsid w:val="00F33C08"/>
    <w:rsid w:val="00F35ADB"/>
    <w:rsid w:val="00F41AE7"/>
    <w:rsid w:val="00F41F44"/>
    <w:rsid w:val="00F42D17"/>
    <w:rsid w:val="00F44B00"/>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17A"/>
    <w:rsid w:val="00F9541D"/>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
    <w:name w:val="Unresolved Mention"/>
    <w:basedOn w:val="DefaultParagraphFont"/>
    <w:uiPriority w:val="99"/>
    <w:semiHidden/>
    <w:unhideWhenUsed/>
    <w:rsid w:val="00E61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15265649">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jpeg"/><Relationship Id="rId18" Type="http://schemas.openxmlformats.org/officeDocument/2006/relationships/hyperlink" Target="https://www.scopus.com/authid/detail.uri?authorId=6603317449" TargetMode="External"/><Relationship Id="rId26" Type="http://schemas.openxmlformats.org/officeDocument/2006/relationships/hyperlink" Target="https://scholar.google.com/citations?user=1C8gb8IAAAAJ&amp;hl=en"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publons.com/researcher/1354246/mekhilef-saad/"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orcid.org/0000-0002-7385-5689" TargetMode="External"/><Relationship Id="rId33" Type="http://schemas.openxmlformats.org/officeDocument/2006/relationships/hyperlink" Target="https://publons.com/researcher/1332081/patricia-melin/"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cholar.google.co.id/citations?user=0kKMcLYAAAAJ&amp;hl=en" TargetMode="External"/><Relationship Id="rId20" Type="http://schemas.openxmlformats.org/officeDocument/2006/relationships/image" Target="media/image9.svg"/><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1.wdp"/><Relationship Id="rId32" Type="http://schemas.openxmlformats.org/officeDocument/2006/relationships/hyperlink" Target="https://www.scopus.com/authid/detail.uri?authorId=7006491873"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publons.com/researcher/1331983/oscar-castillo/"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scholar.google.com/citations?user=Ts6JtfMAAAAJ&amp;hl=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rcid.org/0000-0001-8544-8995" TargetMode="External"/><Relationship Id="rId22" Type="http://schemas.openxmlformats.org/officeDocument/2006/relationships/image" Target="media/image9.png"/><Relationship Id="rId27" Type="http://schemas.openxmlformats.org/officeDocument/2006/relationships/hyperlink" Target="https://www.scopus.com/authid/detail.uri?authorId=7007101709" TargetMode="External"/><Relationship Id="rId30" Type="http://schemas.openxmlformats.org/officeDocument/2006/relationships/hyperlink" Target="https://orcid.org/0000-0001-5798-1426"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DD93C-6389-4C2F-BF57-9EBB5539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13273</Words>
  <Characters>75660</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TELKOMNIKA Telecommunication Computing Electronics and Control</vt:lpstr>
    </vt:vector>
  </TitlesOfParts>
  <Company>UAD | Universitas Ahmad Dahlan</Company>
  <LinksUpToDate>false</LinksUpToDate>
  <CharactersWithSpaces>88756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TELKOMNIKA Telecommunication Computing Electronics and Control</dc:title>
  <dc:creator>TELKOMNIKA</dc:creator>
  <cp:keywords>communication engineering; computer network &amp; system engineering; computer science &amp; information system; computing; electrical &amp; electronics; electrical power engineering; instrumentation &amp; control engineering; instrumentation &amp; control; internet of things (IoT); machine learning, AI &amp; soft computing; power electronics &amp; drives;</cp:keywords>
  <dc:description>TELKOMNIKA Template and Guide of Authors</dc:description>
  <cp:lastModifiedBy>Lenovo</cp:lastModifiedBy>
  <cp:revision>2</cp:revision>
  <cp:lastPrinted>2021-08-05T08:35:00Z</cp:lastPrinted>
  <dcterms:created xsi:type="dcterms:W3CDTF">2024-07-22T08:44:00Z</dcterms:created>
  <dcterms:modified xsi:type="dcterms:W3CDTF">2024-07-22T08:44:00Z</dcterms:modified>
  <cp:category/>
</cp:coreProperties>
</file>