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227fw4t15qg8" w:id="0"/>
      <w:bookmarkEnd w:id="0"/>
      <w:r w:rsidDel="00000000" w:rsidR="00000000" w:rsidRPr="00000000">
        <w:rPr>
          <w:rtl w:val="0"/>
        </w:rPr>
        <w:t xml:space="preserve">/* 1a ROLLUP */</w:t>
      </w:r>
    </w:p>
    <w:tbl>
      <w:tblPr>
        <w:tblStyle w:val="Table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rollup query returns rows summarizing the earnings by year, quarter and month. It assumes a hierarchy among the dimension columns and only generates grouping sets based on this hierarchy.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rPr/>
      </w:pPr>
      <w:bookmarkStart w:colFirst="0" w:colLast="0" w:name="_72g799ntkqy" w:id="1"/>
      <w:bookmarkEnd w:id="1"/>
      <w:r w:rsidDel="00000000" w:rsidR="00000000" w:rsidRPr="00000000">
        <w:rPr>
          <w:rtl w:val="0"/>
        </w:rPr>
        <w:t xml:space="preserve">/* 1a CUBE */</w:t>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union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union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union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union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union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union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quarter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month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cube query gives every possible rollup scenario for the earnings by year, quarter, and month. We group by each possibility: year, quarter, month; year, quarter; year, month; year; quarter, month; quarter; and month.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rPr/>
      </w:pPr>
      <w:bookmarkStart w:colFirst="0" w:colLast="0" w:name="_vu1qbg47qv42" w:id="2"/>
      <w:bookmarkEnd w:id="2"/>
      <w:r w:rsidDel="00000000" w:rsidR="00000000" w:rsidRPr="00000000">
        <w:rPr>
          <w:rtl w:val="0"/>
        </w:rPr>
        <w:t xml:space="preserve">/*  1b ROLLUP */</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regionName, districtName, state,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&gt; 2010</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regionName, districtName, state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rollup query returns rows summarizing the earnings by region, district and state for 2010 earnings only. It assumes a hierarchy among the dimension columns and only generates grouping sets based on this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pPr>
      <w:bookmarkStart w:colFirst="0" w:colLast="0" w:name="_do1aki1paaw5" w:id="3"/>
      <w:bookmarkEnd w:id="3"/>
      <w:r w:rsidDel="00000000" w:rsidR="00000000" w:rsidRPr="00000000">
        <w:rPr>
          <w:rtl w:val="0"/>
        </w:rPr>
        <w:t xml:space="preserve">/*  1b CUBE */</w:t>
      </w:r>
    </w:p>
    <w:tbl>
      <w:tblPr>
        <w:tblStyle w:val="Table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regionName, districtName, state,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&gt; 2010</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regionName, districtName, state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union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regionName, districtName, state,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&gt; 2010</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regionName, districtName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union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regionName, districtName, state,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&gt; 2010</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regionName, state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union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regionName, districtName, state,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&gt; 2010</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regionName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union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regionName, districtName, state,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&gt; 2010</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districtName, state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union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regionName, districtName, state,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&gt; 2010</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districtName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union</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regionName, districtName, state,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&gt; 2010</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state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cube query gives every possible rollup scenario for the earnings by region name, district name, and state. We group by each possibility:  regionName, districtName, state;  regionName, districtName; regionName, state; regionName; districtName, state; districtName; and state.</w:t>
      </w:r>
    </w:p>
    <w:p w:rsidR="00000000" w:rsidDel="00000000" w:rsidP="00000000" w:rsidRDefault="00000000" w:rsidRPr="00000000" w14:paraId="00000016">
      <w:pPr>
        <w:pStyle w:val="Heading4"/>
        <w:rPr/>
      </w:pPr>
      <w:bookmarkStart w:colFirst="0" w:colLast="0" w:name="_i1b92gnhhcn3" w:id="4"/>
      <w:bookmarkEnd w:id="4"/>
      <w:r w:rsidDel="00000000" w:rsidR="00000000" w:rsidRPr="00000000">
        <w:rPr>
          <w:rtl w:val="0"/>
        </w:rPr>
        <w:t xml:space="preserve">Differences between ROLLUP and CUBE</w:t>
      </w:r>
    </w:p>
    <w:p w:rsidR="00000000" w:rsidDel="00000000" w:rsidP="00000000" w:rsidRDefault="00000000" w:rsidRPr="00000000" w14:paraId="00000017">
      <w:pPr>
        <w:rPr/>
      </w:pPr>
      <w:r w:rsidDel="00000000" w:rsidR="00000000" w:rsidRPr="00000000">
        <w:rPr>
          <w:rtl w:val="0"/>
        </w:rPr>
        <w:t xml:space="preserve">The results returned by the cube SQL queries had more rows returned than the results from the rollup SQL queries. This is because the cube will contain every possible rollup scenario while using rollup will maintain the hierarchy among the dimension columns. For example, in question 1a the rollup results will have the following output:</w:t>
      </w:r>
    </w:p>
    <w:p w:rsidR="00000000" w:rsidDel="00000000" w:rsidP="00000000" w:rsidRDefault="00000000" w:rsidRPr="00000000" w14:paraId="00000018">
      <w:pPr>
        <w:ind w:left="720" w:firstLine="0"/>
        <w:rPr/>
      </w:pPr>
      <w:r w:rsidDel="00000000" w:rsidR="00000000" w:rsidRPr="00000000">
        <w:rPr>
          <w:rtl w:val="0"/>
        </w:rPr>
        <w:t xml:space="preserve">YEAR, QUARTER, MONTH</w:t>
      </w:r>
    </w:p>
    <w:p w:rsidR="00000000" w:rsidDel="00000000" w:rsidP="00000000" w:rsidRDefault="00000000" w:rsidRPr="00000000" w14:paraId="00000019">
      <w:pPr>
        <w:ind w:left="720" w:firstLine="0"/>
        <w:rPr/>
      </w:pPr>
      <w:r w:rsidDel="00000000" w:rsidR="00000000" w:rsidRPr="00000000">
        <w:rPr>
          <w:rtl w:val="0"/>
        </w:rPr>
        <w:t xml:space="preserve">YEAR, QUARTER</w:t>
      </w:r>
    </w:p>
    <w:p w:rsidR="00000000" w:rsidDel="00000000" w:rsidP="00000000" w:rsidRDefault="00000000" w:rsidRPr="00000000" w14:paraId="0000001A">
      <w:pPr>
        <w:ind w:left="720" w:firstLine="0"/>
        <w:rPr/>
      </w:pPr>
      <w:r w:rsidDel="00000000" w:rsidR="00000000" w:rsidRPr="00000000">
        <w:rPr>
          <w:rtl w:val="0"/>
        </w:rPr>
        <w:t xml:space="preserve">YEAR</w:t>
      </w:r>
    </w:p>
    <w:p w:rsidR="00000000" w:rsidDel="00000000" w:rsidP="00000000" w:rsidRDefault="00000000" w:rsidRPr="00000000" w14:paraId="0000001B">
      <w:pPr>
        <w:ind w:left="720" w:firstLine="0"/>
        <w:rPr/>
      </w:pPr>
      <w:r w:rsidDel="00000000" w:rsidR="00000000" w:rsidRPr="00000000">
        <w:rPr>
          <w:rtl w:val="0"/>
        </w:rPr>
        <w:t xml:space="preserve">(NULL)</w:t>
      </w:r>
    </w:p>
    <w:p w:rsidR="00000000" w:rsidDel="00000000" w:rsidP="00000000" w:rsidRDefault="00000000" w:rsidRPr="00000000" w14:paraId="0000001C">
      <w:pPr>
        <w:rPr/>
      </w:pPr>
      <w:r w:rsidDel="00000000" w:rsidR="00000000" w:rsidRPr="00000000">
        <w:rPr>
          <w:rtl w:val="0"/>
        </w:rPr>
        <w:t xml:space="preserve">However, the cube results for the same question will have the following output:</w:t>
      </w:r>
    </w:p>
    <w:p w:rsidR="00000000" w:rsidDel="00000000" w:rsidP="00000000" w:rsidRDefault="00000000" w:rsidRPr="00000000" w14:paraId="0000001D">
      <w:pPr>
        <w:rPr/>
      </w:pPr>
      <w:r w:rsidDel="00000000" w:rsidR="00000000" w:rsidRPr="00000000">
        <w:rPr>
          <w:rtl w:val="0"/>
        </w:rPr>
        <w:tab/>
        <w:t xml:space="preserve">YEAR, QUARTER, MONTH</w:t>
      </w:r>
    </w:p>
    <w:p w:rsidR="00000000" w:rsidDel="00000000" w:rsidP="00000000" w:rsidRDefault="00000000" w:rsidRPr="00000000" w14:paraId="0000001E">
      <w:pPr>
        <w:ind w:left="720" w:firstLine="0"/>
        <w:rPr/>
      </w:pPr>
      <w:r w:rsidDel="00000000" w:rsidR="00000000" w:rsidRPr="00000000">
        <w:rPr>
          <w:rtl w:val="0"/>
        </w:rPr>
        <w:t xml:space="preserve">YEAR, QUARTER</w:t>
      </w:r>
    </w:p>
    <w:p w:rsidR="00000000" w:rsidDel="00000000" w:rsidP="00000000" w:rsidRDefault="00000000" w:rsidRPr="00000000" w14:paraId="0000001F">
      <w:pPr>
        <w:ind w:left="720" w:firstLine="0"/>
        <w:rPr/>
      </w:pPr>
      <w:r w:rsidDel="00000000" w:rsidR="00000000" w:rsidRPr="00000000">
        <w:rPr>
          <w:rtl w:val="0"/>
        </w:rPr>
        <w:t xml:space="preserve">YEAR</w:t>
      </w:r>
    </w:p>
    <w:p w:rsidR="00000000" w:rsidDel="00000000" w:rsidP="00000000" w:rsidRDefault="00000000" w:rsidRPr="00000000" w14:paraId="00000020">
      <w:pPr>
        <w:ind w:left="720" w:firstLine="0"/>
        <w:rPr/>
      </w:pPr>
      <w:r w:rsidDel="00000000" w:rsidR="00000000" w:rsidRPr="00000000">
        <w:rPr>
          <w:rtl w:val="0"/>
        </w:rPr>
        <w:t xml:space="preserve">QUARTER, MONTH</w:t>
      </w:r>
    </w:p>
    <w:p w:rsidR="00000000" w:rsidDel="00000000" w:rsidP="00000000" w:rsidRDefault="00000000" w:rsidRPr="00000000" w14:paraId="00000021">
      <w:pPr>
        <w:ind w:left="720" w:firstLine="0"/>
        <w:rPr/>
      </w:pPr>
      <w:r w:rsidDel="00000000" w:rsidR="00000000" w:rsidRPr="00000000">
        <w:rPr>
          <w:rtl w:val="0"/>
        </w:rPr>
        <w:t xml:space="preserve">QUARTER</w:t>
      </w:r>
    </w:p>
    <w:p w:rsidR="00000000" w:rsidDel="00000000" w:rsidP="00000000" w:rsidRDefault="00000000" w:rsidRPr="00000000" w14:paraId="00000022">
      <w:pPr>
        <w:ind w:left="720" w:firstLine="0"/>
        <w:rPr/>
      </w:pPr>
      <w:r w:rsidDel="00000000" w:rsidR="00000000" w:rsidRPr="00000000">
        <w:rPr>
          <w:rtl w:val="0"/>
        </w:rPr>
        <w:t xml:space="preserve">MONTH</w:t>
      </w:r>
    </w:p>
    <w:p w:rsidR="00000000" w:rsidDel="00000000" w:rsidP="00000000" w:rsidRDefault="00000000" w:rsidRPr="00000000" w14:paraId="00000023">
      <w:pPr>
        <w:ind w:left="720" w:firstLine="0"/>
        <w:rPr/>
      </w:pPr>
      <w:r w:rsidDel="00000000" w:rsidR="00000000" w:rsidRPr="00000000">
        <w:rPr>
          <w:rtl w:val="0"/>
        </w:rPr>
        <w:t xml:space="preserve">(NULL)</w:t>
      </w:r>
    </w:p>
    <w:p w:rsidR="00000000" w:rsidDel="00000000" w:rsidP="00000000" w:rsidRDefault="00000000" w:rsidRPr="00000000" w14:paraId="00000024">
      <w:pPr>
        <w:rPr/>
      </w:pPr>
      <w:r w:rsidDel="00000000" w:rsidR="00000000" w:rsidRPr="00000000">
        <w:rPr>
          <w:rtl w:val="0"/>
        </w:rPr>
        <w:t xml:space="preserve">As you can see, the cube results will return more rows because it combines all possible combinations features in GROUP BY.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rPr/>
      </w:pPr>
      <w:bookmarkStart w:colFirst="0" w:colLast="0" w:name="_mif5p6n8rab6" w:id="5"/>
      <w:bookmarkEnd w:id="5"/>
      <w:r w:rsidDel="00000000" w:rsidR="00000000" w:rsidRPr="00000000">
        <w:rPr>
          <w:rtl w:val="0"/>
        </w:rPr>
        <w:t xml:space="preserve">/* 2 ROLLUP */</w:t>
      </w:r>
    </w:p>
    <w:tbl>
      <w:tblPr>
        <w:tblStyle w:val="Table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regionName, districtName, state,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w:t>
              <w:br w:type="textWrapping"/>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customerdim </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earningsfact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(customerkey)</w:t>
              <w:br w:type="textWrapping"/>
            </w:r>
            <w:r w:rsidDel="00000000" w:rsidR="00000000" w:rsidRPr="00000000">
              <w:rPr>
                <w:rFonts w:ascii="Consolas" w:cs="Consolas" w:eastAsia="Consolas" w:hAnsi="Consolas"/>
                <w:color w:val="0000ff"/>
                <w:rtl w:val="0"/>
              </w:rPr>
              <w:t xml:space="preserve">JOIN</w:t>
            </w:r>
            <w:r w:rsidDel="00000000" w:rsidR="00000000" w:rsidRPr="00000000">
              <w:rPr>
                <w:rFonts w:ascii="Consolas" w:cs="Consolas" w:eastAsia="Consolas" w:hAnsi="Consolas"/>
                <w:color w:val="000000"/>
                <w:rtl w:val="0"/>
              </w:rPr>
              <w:t xml:space="preserve"> datedim </w:t>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(datekey)</w:t>
              <w:br w:type="textWrapping"/>
            </w:r>
            <w:r w:rsidDel="00000000" w:rsidR="00000000" w:rsidRPr="00000000">
              <w:rPr>
                <w:rFonts w:ascii="Consolas" w:cs="Consolas" w:eastAsia="Consolas" w:hAnsi="Consolas"/>
                <w:color w:val="0000ff"/>
                <w:rtl w:val="0"/>
              </w:rPr>
              <w:t xml:space="preserve">WHERE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year</w:t>
            </w:r>
            <w:r w:rsidDel="00000000" w:rsidR="00000000" w:rsidRPr="00000000">
              <w:rPr>
                <w:rFonts w:ascii="Consolas" w:cs="Consolas" w:eastAsia="Consolas" w:hAnsi="Consolas"/>
                <w:color w:val="000000"/>
                <w:rtl w:val="0"/>
              </w:rPr>
              <w:t xml:space="preserve"> &gt; 2010</w:t>
              <w:br w:type="textWrapping"/>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regionName, districtName, state </w:t>
            </w:r>
            <w:r w:rsidDel="00000000" w:rsidR="00000000" w:rsidRPr="00000000">
              <w:rPr>
                <w:rFonts w:ascii="Consolas" w:cs="Consolas" w:eastAsia="Consolas" w:hAnsi="Consolas"/>
                <w:color w:val="0000ff"/>
                <w:rtl w:val="0"/>
              </w:rPr>
              <w:t xml:space="preserve">WITH</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ROLLUP</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HAVING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SUM</w:t>
            </w:r>
            <w:r w:rsidDel="00000000" w:rsidR="00000000" w:rsidRPr="00000000">
              <w:rPr>
                <w:rFonts w:ascii="Consolas" w:cs="Consolas" w:eastAsia="Consolas" w:hAnsi="Consolas"/>
                <w:color w:val="000000"/>
                <w:rtl w:val="0"/>
              </w:rPr>
              <w:t xml:space="preserve">(earnings) &gt; 1000</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