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60" w:before="0"/>
      </w:pPr>
      <w:r>
        <w:t xml:space="preserve">Funkciókatalógus — első vázlat</w:t>
      </w:r>
    </w:p>
    <w:p>
      <w:pPr>
        <w:pStyle w:val="Heading1"/>
        <w:spacing w:after="160" w:before="320"/>
      </w:pPr>
      <w:r>
        <w:t xml:space="preserve">A szülői és tanulói olvasási funkciók adatkör-besorolása</w:t>
      </w:r>
    </w:p>
    <w:p>
      <w:pPr>
        <w:spacing w:after="140"/>
        <w:jc w:val="both"/>
      </w:pPr>
      <w:r>
        <w:rPr>
          <w:i/>
          <w:iCs/>
        </w:rPr>
        <w:t xml:space="preserve">Az előterjesztés 12./III. pontja szerint a kormányrendelet melléklete tételesen felsorolja a delegált hozzáféréssel elérhető funkciókat, és funkciónként megadja a szükséges bizalmi szintet, valamint az adatkör besorolását. A 14. fejezet 3. nyitott kérdése ezt a besorolást nevezi meg a javaslat legmunkaigényesebb részének. Ez a vázlat az első menetet végzi el rajta.</w:t>
      </w:r>
    </w:p>
    <w:p>
      <w:pPr>
        <w:pBdr>
          <w:bottom w:val="single" w:color="B0B8C4" w:sz="6"/>
        </w:pBdr>
        <w:spacing w:after="200" w:before="200"/>
      </w:pPr>
      <w:r>
        <w:t xml:space="preserve"/>
      </w:r>
    </w:p>
    <w:p>
      <w:pPr>
        <w:pStyle w:val="Heading1"/>
        <w:spacing w:after="160" w:before="320"/>
      </w:pPr>
      <w:r>
        <w:t xml:space="preserve">1. Mi ez, és mi nem</w:t>
      </w:r>
    </w:p>
    <w:p>
      <w:pPr>
        <w:spacing w:after="140"/>
        <w:jc w:val="both"/>
      </w:pPr>
      <w:r>
        <w:rPr>
          <w:b/>
          <w:bCs/>
        </w:rPr>
        <w:t xml:space="preserve">Mi ez.</w:t>
      </w:r>
      <w:r>
        <w:t xml:space="preserve"> Az Üzenőfüzet nyílt forráskódú szolgáltatás ma 17 KRÉTA-végpontot olvas a szülő nevében. Ez a lista nem elméleti: működő integrációból származik, tehát pontosan azt a funkciókört fedi le, amelyet egy delegált hozzáférés első szakasza érintene. A vázlat minden végponthoz hozzárendel egy adatkör-besorolást és egy bizalmi szintet.</w:t>
      </w:r>
    </w:p>
    <w:p>
      <w:pPr>
        <w:spacing w:after="140"/>
        <w:jc w:val="both"/>
      </w:pPr>
      <w:r>
        <w:rPr>
          <w:b/>
          <w:bCs/>
        </w:rPr>
        <w:t xml:space="preserve">Mi nem.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Nem teljes.</w:t>
      </w:r>
      <w:r>
        <w:t xml:space="preserve"> Kizárólag az előterjesztés </w:t>
      </w:r>
      <w:r>
        <w:rPr>
          <w:b/>
          <w:bCs/>
        </w:rPr>
        <w:t xml:space="preserve">A) esetét</w:t>
      </w:r>
      <w:r>
        <w:t xml:space="preserve"> fedi le: az érintett saját adatának olvasását. A B) eset (műveletvégzés) és a C) eset (pedagógusi jogosultság) funkcióit ez a forrás nem tartalmazza, mert az Üzenőfüzet szülői oldalú és csak olvas. Azokhoz az üzemeltető saját funkciólistája kell.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Nem a Neptunra vonatkozik.</w:t>
      </w:r>
      <w:r>
        <w:t xml:space="preserve"> A felsőoktatási tanulmányi rendszerek külön katalógust igényelnek.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Nem végleges, mert mezőszintű sémát nem láttunk.</w:t>
      </w:r>
      <w:r>
        <w:t xml:space="preserve"> A besorolás a végpontok szemantikáján alapul, nem a tényleges válaszmezőkön. </w:t>
      </w:r>
      <w:r>
        <w:rPr>
          <w:b/>
          <w:bCs/>
        </w:rPr>
        <w:t xml:space="preserve">Minden sor validálandó a valódi válaszszerkezet ismeretében.</w:t>
      </w:r>
      <w:r>
        <w:t xml:space="preserve"> Ez önmagában is érv a javaslat mellett: a katalógus nem készíthető el addig, amíg az üzemeltető nem teszi közzé a felület leírását.</w:t>
      </w:r>
    </w:p>
    <w:p>
      <w:pPr>
        <w:pStyle w:val="Heading1"/>
        <w:spacing w:after="160" w:before="320"/>
      </w:pPr>
      <w:r>
        <w:t xml:space="preserve">2. A három adatkör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Jel</w:t>
            </w:r>
          </w:p>
        </w:tc>
        <w:tc>
          <w:tcPr>
            <w:tcW w:type="dxa" w:w="3008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Adatkör</w:t>
            </w:r>
          </w:p>
        </w:tc>
        <w:tc>
          <w:tcPr>
            <w:tcW w:type="dxa" w:w="3010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Alapszabály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alapadatkör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delegálható és külső szolgáltatóhoz továbbítható, ha a tájékoztatás megtörtént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korlátozott továbbítású adatkör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delegált csatornán külső szolgáltatóhoz nem továbbítható; a hivatalos felületen továbbra is látható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más személyt is érintő adat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csak szűkítve, a harmadik személyre vonatkozó rész elhagyásával, vagy nem delegálható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spacing w:after="160" w:before="320"/>
      </w:pPr>
      <w:r>
        <w:t xml:space="preserve">3. A katalógus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1504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Funkció</w:t>
            </w:r>
          </w:p>
        </w:tc>
        <w:tc>
          <w:tcPr>
            <w:tcW w:type="dxa" w:w="1504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KRÉTA-végpont</w:t>
            </w:r>
          </w:p>
        </w:tc>
        <w:tc>
          <w:tcPr>
            <w:tcW w:type="dxa" w:w="1504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Adatkör</w:t>
            </w:r>
          </w:p>
        </w:tc>
        <w:tc>
          <w:tcPr>
            <w:tcW w:type="dxa" w:w="1504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Szint</w:t>
            </w:r>
          </w:p>
        </w:tc>
        <w:tc>
          <w:tcPr>
            <w:tcW w:type="dxa" w:w="1506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Megjegyzés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Kapcsolat ellenőrzése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sajat/TanuloAdatlap</w:t>
            </w:r>
            <w:r>
              <w:rPr>
                <w:sz w:val="18"/>
                <w:szCs w:val="18"/>
              </w:rPr>
              <w:t xml:space="preserve"> (metaadat)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csak a kapcsolat élő voltát igazolja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Tanulói adatlap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sajat/TanuloAdatlap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+ </w:t>
            </w:r>
            <w:r>
              <w:rPr>
                <w:b/>
                <w:bCs/>
                <w:sz w:val="18"/>
                <w:szCs w:val="18"/>
              </w:rPr>
              <w:t xml:space="preserve">M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saját azonosító adatok A; a beágyazott gondviselői blokk M — lásd 4.1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Gondviselői adatlap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sajat/GondviseloAdatlap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felhatalmazó szülő saját adata; tanulói munkamenetből M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Osztályok és csoportok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sajat/OsztalyCsoportok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pedagógusnevek szakmai minőségben szerepelnek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Értékelések, jegyek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sajat/Ertekelesek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szöveges értékelés szabad szöveg; lásd 4.5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Mulasztások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sajat/Mulasztasok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A, </w:t>
            </w:r>
            <w:r>
              <w:rPr>
                <w:b/>
                <w:bCs/>
                <w:sz w:val="18"/>
                <w:szCs w:val="18"/>
              </w:rPr>
              <w:t xml:space="preserve">az igazolás indoka 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az igazolástípus egészségügyi következtetést enged — lásd 4.2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Feljegyzések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sajat/Feljegyzesek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alapértelmezésben nem továbbítható — lásd 4.3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Faliújság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sajat/FaliujsagElemek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intézményi közlés; más tanulót nevesíthet, de nyilvános körben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Tanév rendje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sajat/Intezmenyek/TanevRendjeElemek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intézményi adat, jellemzően nem személyes adat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Lázár Ervin Program előadásai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Lep/Eloadasok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részvétel ténye programhoz kötött, alacsony érzékenységű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Órarend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sajat/OrarendElemek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pedagógusnév, terem, tantárgy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Órarendi elem részletei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sajat/OrarendElem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mint a 11.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Házi feladatok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sajat/HaziFeladatok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Házi feladat részletei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sajat/HaziFeladatok/{uid}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Bejelentett számonkérések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sajat/BejelentettSzamonkeresek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Fogadóórák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sajat/Fogadoorak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A, </w:t>
            </w:r>
            <w:r>
              <w:rPr>
                <w:b/>
                <w:bCs/>
                <w:sz w:val="18"/>
                <w:szCs w:val="18"/>
              </w:rPr>
              <w:t xml:space="preserve">foglalásnál M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 más szülő foglalása is látszik, az M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Fogadóóra részletei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sajat/Fogadoorak/{uid}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A, </w:t>
            </w:r>
            <w:r>
              <w:rPr>
                <w:b/>
                <w:bCs/>
                <w:sz w:val="18"/>
                <w:szCs w:val="18"/>
              </w:rPr>
              <w:t xml:space="preserve">foglalásnál M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mint a 16.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Heti intézményi beosztás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sajat/Intezmenyek/Hetirendek/Orarendi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intézményi adat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Osztályátlagok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sajat/Ertekelesek/Atlagok/OsztalyAtlagok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</w:t>
            </w:r>
            <w:r>
              <w:rPr>
                <w:sz w:val="18"/>
                <w:szCs w:val="18"/>
              </w:rPr>
              <w:t xml:space="preserve">, aggregálva 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kis csoportnál visszafejthető — lásd 4.4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Tárgyi eszköz státusza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TargyiEszkoz/IsEszkozKiosztva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IsRegisztralt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szociális támogatásra enged következtetni — lásd 4.6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/>
        <w:jc w:val="both"/>
      </w:pPr>
      <w:r>
        <w:t xml:space="preserve">Húsz funkcióból </w:t>
      </w:r>
      <w:r>
        <w:rPr>
          <w:b/>
          <w:bCs/>
        </w:rPr>
        <w:t xml:space="preserve">tizenhárom tiszta alapadatkör</w:t>
      </w:r>
      <w:r>
        <w:t xml:space="preserve">, kettő korlátozott továbbítású, három vegyes, kettő pedig más személyt is érintő elemet hordoz. A bizalmi szint mindenhol 1, mert kizárólag olvasásról van szó az érintett saját adatkörében.</w:t>
      </w:r>
    </w:p>
    <w:p>
      <w:pPr>
        <w:pStyle w:val="Heading1"/>
        <w:spacing w:after="160" w:before="320"/>
      </w:pPr>
      <w:r>
        <w:t xml:space="preserve">4. A nehéz esetek</w:t>
      </w:r>
    </w:p>
    <w:p>
      <w:pPr>
        <w:spacing w:after="140"/>
        <w:jc w:val="both"/>
      </w:pPr>
      <w:r>
        <w:t xml:space="preserve">Ez a fejezet a katalógus lényege. A tiszta eseteknél a besorolás mechanikus; itt dől el, hogy a szabály működik-e.</w:t>
      </w:r>
    </w:p>
    <w:p>
      <w:pPr>
        <w:pStyle w:val="Heading2"/>
        <w:spacing w:after="160" w:before="320"/>
      </w:pPr>
      <w:r>
        <w:t xml:space="preserve">4.1 A tanulói adatlap gondviselői blokkot tartalmaz</w:t>
      </w:r>
    </w:p>
    <w:p>
      <w:pPr>
        <w:spacing w:after="140"/>
        <w:jc w:val="both"/>
      </w:pPr>
      <w:r>
        <w:t xml:space="preserve">A tanuló adatlapja jellemzően nem csak a tanuló adataiból áll: tartalmazza a gondviselők nevét és elérhetőségét. Egy szülő számára ez részben </w:t>
      </w:r>
      <w:r>
        <w:rPr>
          <w:b/>
          <w:bCs/>
        </w:rPr>
        <w:t xml:space="preserve">a másik szülő adata</w:t>
      </w:r>
      <w:r>
        <w:t xml:space="preserve">.</w:t>
      </w:r>
    </w:p>
    <w:p>
      <w:pPr>
        <w:spacing w:after="140"/>
        <w:jc w:val="both"/>
      </w:pPr>
      <w:r>
        <w:rPr>
          <w:i/>
          <w:iCs/>
        </w:rPr>
        <w:t xml:space="preserve">Javasolt megoldás:</w:t>
      </w:r>
      <w:r>
        <w:t xml:space="preserve"> a funkció delegálható, de a válaszból a felhatalmazást adó gondviselőn kívüli gondviselők elérhetőségi adatait el kell hagyni. Ehhez az üzemeltetőnek mezőszintű szűrést kell tudnia a válaszban — ez műszaki követelmény, nem jogi.</w:t>
      </w:r>
    </w:p>
    <w:p>
      <w:pPr>
        <w:pStyle w:val="Heading2"/>
        <w:spacing w:after="160" w:before="320"/>
      </w:pPr>
      <w:r>
        <w:t xml:space="preserve">4.2 A mulasztás igazolási indoka egészségügyi adat lehet</w:t>
      </w:r>
    </w:p>
    <w:p>
      <w:pPr>
        <w:spacing w:after="140"/>
        <w:jc w:val="both"/>
      </w:pPr>
      <w:r>
        <w:t xml:space="preserve">A mulasztás ténye a tanuló saját adata. Az igazolás típusa viszont — „orvosi igazolás”, „szülői igazolás”, „hatósági” — </w:t>
      </w:r>
      <w:r>
        <w:rPr>
          <w:b/>
          <w:bCs/>
        </w:rPr>
        <w:t xml:space="preserve">egészségügyi következtetést enged</w:t>
      </w:r>
      <w:r>
        <w:t xml:space="preserve">: ha egy tanuló mulasztásainak nagy része orvosi igazolású, az az egészségi állapotára utaló információ.</w:t>
      </w:r>
    </w:p>
    <w:p>
      <w:pPr>
        <w:spacing w:after="140"/>
        <w:jc w:val="both"/>
      </w:pPr>
      <w:r>
        <w:rPr>
          <w:i/>
          <w:iCs/>
        </w:rPr>
        <w:t xml:space="preserve">Javasolt megoldás:</w:t>
      </w:r>
      <w:r>
        <w:t xml:space="preserve"> a mulasztás dátuma, tantárgya, típusa (igazolt vagy igazolatlan) alapadatkör; </w:t>
      </w:r>
      <w:r>
        <w:rPr>
          <w:b/>
          <w:bCs/>
        </w:rPr>
        <w:t xml:space="preserve">az igazolás konkrét indoka és kiállítója korlátozott továbbítású</w:t>
      </w:r>
      <w:r>
        <w:t xml:space="preserve">. A hivatalos felületen a szülő továbbra is látja.</w:t>
      </w:r>
    </w:p>
    <w:p>
      <w:pPr>
        <w:spacing w:after="140"/>
        <w:jc w:val="both"/>
      </w:pPr>
      <w:r>
        <w:t xml:space="preserve">Ez a sor jól mutatja, miért nem elég végpontszintű besorolás: </w:t>
      </w:r>
      <w:r>
        <w:rPr>
          <w:b/>
          <w:bCs/>
        </w:rPr>
        <w:t xml:space="preserve">egyetlen válaszon belül két adatkör van</w:t>
      </w:r>
      <w:r>
        <w:t xml:space="preserve">.</w:t>
      </w:r>
    </w:p>
    <w:p>
      <w:pPr>
        <w:pStyle w:val="Heading2"/>
        <w:spacing w:after="160" w:before="320"/>
      </w:pPr>
      <w:r>
        <w:t xml:space="preserve">4.3 A feljegyzések a legvegyesebb végpont</w:t>
      </w:r>
    </w:p>
    <w:p>
      <w:pPr>
        <w:spacing w:after="140"/>
        <w:jc w:val="both"/>
      </w:pPr>
      <w:r>
        <w:t xml:space="preserve">A </w:t>
      </w:r>
      <w:r>
        <w:rPr>
          <w:rFonts w:ascii="Consolas" w:cs="Consolas" w:eastAsia="Consolas" w:hAnsi="Consolas"/>
        </w:rPr>
        <w:t xml:space="preserve">Feljegyzesek</w:t>
      </w:r>
      <w:r>
        <w:t xml:space="preserve"> egyaránt tartalmazhat dicséretet, szaktanári figyelmeztetést, magatartási bejegyzést, fegyelmi ügy előzményét, és adott esetben gyermekvédelmi jelzéshez kapcsolódó kontextust. Végpontszinten ezek nem különböztethetők meg.</w:t>
      </w:r>
    </w:p>
    <w:p>
      <w:pPr>
        <w:spacing w:after="140"/>
        <w:jc w:val="both"/>
      </w:pPr>
      <w:r>
        <w:rPr>
          <w:i/>
          <w:iCs/>
        </w:rPr>
        <w:t xml:space="preserve">Javasolt megoldás:</w:t>
      </w:r>
      <w:r>
        <w:t xml:space="preserve"> </w:t>
      </w:r>
      <w:r>
        <w:rPr>
          <w:b/>
          <w:bCs/>
        </w:rPr>
        <w:t xml:space="preserve">alapértelmezésben korlátozott továbbítású</w:t>
      </w:r>
      <w:r>
        <w:t xml:space="preserve">, mert a legérzékenyebb lehetséges tartalomhoz kell igazodni. Ez feloldható, ha az üzemeltető típuskódot ad a feljegyzésekhez: akkor a dicséret és a semleges tanári közlés alapadatkörbe kerülhet, a fegyelmi és gyermekvédelmi vonatkozású pedig korlátozott marad.</w:t>
      </w:r>
    </w:p>
    <w:p>
      <w:pPr>
        <w:spacing w:after="140"/>
        <w:jc w:val="both"/>
      </w:pPr>
      <w:r>
        <w:rPr>
          <w:b/>
          <w:bCs/>
        </w:rPr>
        <w:t xml:space="preserve">Ez konkrét kérés az üzemeltető felé</w:t>
      </w:r>
      <w:r>
        <w:t xml:space="preserve">, és a katalógus egyik legfontosabb hozadéka: kiderül, hogy a szabályozás finomsága a mögöttes adatszerkezeten múlik.</w:t>
      </w:r>
    </w:p>
    <w:p>
      <w:pPr>
        <w:pStyle w:val="Heading2"/>
        <w:spacing w:after="160" w:before="320"/>
      </w:pPr>
      <w:r>
        <w:t xml:space="preserve">4.4 Az osztályátlag más gyerekek jegyeiből származik</w:t>
      </w:r>
    </w:p>
    <w:p>
      <w:pPr>
        <w:spacing w:after="140"/>
        <w:jc w:val="both"/>
      </w:pPr>
      <w:r>
        <w:t xml:space="preserve">Az osztályátlag nem nevesít senkit, de más tanulók értékeléseiből képzett adat. Nagy osztálynál ez ártalmatlan. Egy négyfős fakultációs csoportnál viszont az átlag és a saját jegy ismeretében </w:t>
      </w:r>
      <w:r>
        <w:rPr>
          <w:b/>
          <w:bCs/>
        </w:rPr>
        <w:t xml:space="preserve">a többiek jegye visszafejthető</w:t>
      </w:r>
      <w:r>
        <w:t xml:space="preserve">.</w:t>
      </w:r>
    </w:p>
    <w:p>
      <w:pPr>
        <w:spacing w:after="140"/>
        <w:jc w:val="both"/>
      </w:pPr>
      <w:r>
        <w:rPr>
          <w:i/>
          <w:iCs/>
        </w:rPr>
        <w:t xml:space="preserve">Javasolt megoldás:</w:t>
      </w:r>
      <w:r>
        <w:t xml:space="preserve"> az átlag akkor tartozik alapadatkörbe, ha a csoport létszáma egy küszöbértéket elér. A küszöb megállapítása statisztikai, nem jogi kérdés; a rendelet a küszöb létét írja elő, az értékét a melléklet adja meg. [ELDÖNTENDŐ: a minimális csoportlétszám]</w:t>
      </w:r>
    </w:p>
    <w:p>
      <w:pPr>
        <w:pStyle w:val="Heading2"/>
        <w:spacing w:after="160" w:before="320"/>
      </w:pPr>
      <w:r>
        <w:t xml:space="preserve">4.5 A szöveges értékelés szabad szöveg</w:t>
      </w:r>
    </w:p>
    <w:p>
      <w:pPr>
        <w:spacing w:after="140"/>
        <w:jc w:val="both"/>
      </w:pPr>
      <w:r>
        <w:t xml:space="preserve">A szöveges értékelés a tanuló saját adata, tehát alapadatkör. De szabad szöveg, amelybe a pedagógus bármit írhat, ideértve magatartási vagy családi körülményre utaló megjegyzést is.</w:t>
      </w:r>
    </w:p>
    <w:p>
      <w:pPr>
        <w:spacing w:after="140"/>
        <w:jc w:val="both"/>
      </w:pPr>
      <w:r>
        <w:rPr>
          <w:i/>
          <w:iCs/>
        </w:rPr>
        <w:t xml:space="preserve">Javasolt megoldás:</w:t>
      </w:r>
      <w:r>
        <w:t xml:space="preserve"> besorolás szerint marad alapadatkör — a tartalmi kockázat nem besorolással kezelhető. Amit a javaslat tehet: a jóváhagyó képernyőn a szöveges értékelés külön nevesítve jelenjen meg, hogy a szülő tudja, szabad szöveges pedagógusi megjegyzés is kimegy.</w:t>
      </w:r>
    </w:p>
    <w:p>
      <w:pPr>
        <w:pStyle w:val="Heading2"/>
        <w:spacing w:after="160" w:before="320"/>
      </w:pPr>
      <w:r>
        <w:t xml:space="preserve">4.6 Az eszközstátusz szociális helyzetre utalhat</w:t>
      </w:r>
    </w:p>
    <w:p>
      <w:pPr>
        <w:spacing w:after="140"/>
        <w:jc w:val="both"/>
      </w:pPr>
      <w:r>
        <w:t xml:space="preserve">A </w:t>
      </w:r>
      <w:r>
        <w:rPr>
          <w:rFonts w:ascii="Consolas" w:cs="Consolas" w:eastAsia="Consolas" w:hAnsi="Consolas"/>
        </w:rPr>
        <w:t xml:space="preserve">TargyiEszkoz</w:t>
      </w:r>
      <w:r>
        <w:t xml:space="preserve"> végpontok azt mondják meg, kiosztottak-e a tanulónak eszközt és regisztrálták-e. Önmagában technikai adat. Csakhogy az állami eszközkiosztási programok jellemzően rászorultsági alapon célzottak, így </w:t>
      </w:r>
      <w:r>
        <w:rPr>
          <w:b/>
          <w:bCs/>
        </w:rPr>
        <w:t xml:space="preserve">a kiosztás ténye szociális helyzetre enged következtetni</w:t>
      </w:r>
      <w:r>
        <w:t xml:space="preserve">.</w:t>
      </w:r>
    </w:p>
    <w:p>
      <w:pPr>
        <w:spacing w:after="140"/>
        <w:jc w:val="both"/>
      </w:pPr>
      <w:r>
        <w:rPr>
          <w:i/>
          <w:iCs/>
        </w:rPr>
        <w:t xml:space="preserve">Javasolt megoldás:</w:t>
      </w:r>
      <w:r>
        <w:t xml:space="preserve"> korlátozott továbbítású. A szülő a hivatalos felületen látja; MI-szolgáltatóhoz nem megy ki. Ez a funkció amúgy is marginális haszonnal jár egy asszisztensben.</w:t>
      </w:r>
    </w:p>
    <w:p>
      <w:pPr>
        <w:pStyle w:val="Heading1"/>
        <w:spacing w:after="160" w:before="320"/>
      </w:pPr>
      <w:r>
        <w:t xml:space="preserve">5. Amit az üzemeltetőtől kell kérni</w:t>
      </w:r>
    </w:p>
    <w:p>
      <w:pPr>
        <w:spacing w:after="140"/>
        <w:jc w:val="both"/>
      </w:pPr>
      <w:r>
        <w:t xml:space="preserve">A katalógus lezárásához négy dolog kell, és mindegyik az üzemeltető oldalán van: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Mezőszintű válaszséma</w:t>
      </w:r>
      <w:r>
        <w:t xml:space="preserve"> minden végponthoz. E nélkül a besorolás végpontnévre épül, ami a 4.1 és 4.2 eset alapján nem elég.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Típuskód a feljegyzésekhez</w:t>
      </w:r>
      <w:r>
        <w:t xml:space="preserve">, hogy a 4.3 eset feloldható legyen.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Csoportlétszám az átlagokhoz</w:t>
      </w:r>
      <w:r>
        <w:t xml:space="preserve">, hogy a 4.4 küszöb alkalmazható legyen.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Mezőszintű szűrés képessége</w:t>
      </w:r>
      <w:r>
        <w:t xml:space="preserve"> a válaszban, mert három eset is részleges elhagyást igényel, nem a funkció tiltását.</w:t>
      </w:r>
    </w:p>
    <w:p>
      <w:pPr>
        <w:pStyle w:val="Heading1"/>
        <w:spacing w:after="160" w:before="320"/>
      </w:pPr>
      <w:r>
        <w:t xml:space="preserve">6. Mi hiányzik még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 B) eset</w:t>
      </w:r>
      <w:r>
        <w:t xml:space="preserve">: műveletvégzés az érintett saját adatkörében — igazolás beküldése, jelentkezések, üzenetküldés. Ehhez az üzemeltető írási funkciólistája kell.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 C) eset</w:t>
      </w:r>
      <w:r>
        <w:t xml:space="preserve">: pedagógusi és oktatói funkciók. Ez a legnagyobb hiányzó blokk, és a legérzékenyebb, mert ott más érintettek adatairól van szó.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 felsőoktatás</w:t>
      </w:r>
      <w:r>
        <w:t xml:space="preserve">: a Neptun és a többi tanulmányi rendszer önálló katalógusa.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Validálás</w:t>
      </w:r>
      <w:r>
        <w:t xml:space="preserve">: a fenti húsz sor mindegyike ellenőrizendő valódi válaszszerkezeten.</w:t>
      </w:r>
    </w:p>
    <w:p>
      <w:pPr>
        <w:pStyle w:val="Heading1"/>
        <w:spacing w:after="160" w:before="320"/>
      </w:pPr>
      <w:r>
        <w:t xml:space="preserve">7. Amit ez a vázlat bizonyít</w:t>
      </w:r>
    </w:p>
    <w:p>
      <w:pPr>
        <w:spacing w:after="140"/>
        <w:jc w:val="both"/>
      </w:pPr>
      <w:r>
        <w:t xml:space="preserve">Három dolgot, és mindhárom az előterjesztés érvelését erősíti.</w:t>
      </w:r>
    </w:p>
    <w:p>
      <w:pPr>
        <w:spacing w:after="140"/>
        <w:jc w:val="both"/>
      </w:pPr>
      <w:r>
        <w:rPr>
          <w:b/>
          <w:bCs/>
        </w:rPr>
        <w:t xml:space="preserve">A besorolás elvégezhető.</w:t>
      </w:r>
      <w:r>
        <w:t xml:space="preserve"> Nem elméleti feladat: húsz funkcióból tizenhárom egyértelmű, és a maradék hét is eldönthető, ha a mögöttes adatszerkezet ismert.</w:t>
      </w:r>
    </w:p>
    <w:p>
      <w:pPr>
        <w:spacing w:after="140"/>
        <w:jc w:val="both"/>
      </w:pPr>
      <w:r>
        <w:rPr>
          <w:b/>
          <w:bCs/>
        </w:rPr>
        <w:t xml:space="preserve">A végpontszintű szabályozás nem elég.</w:t>
      </w:r>
      <w:r>
        <w:t xml:space="preserve"> Három esetben — tanulói adatlap, mulasztás, fogadóóra — egyetlen válaszon belül több adatkör van. A rendeletnek ezért mezőszintű besorolást kell lehetővé tennie, és az üzemeltetőnek mezőszintű szűrést kell tudnia.</w:t>
      </w:r>
    </w:p>
    <w:p>
      <w:pPr>
        <w:spacing w:after="140"/>
        <w:jc w:val="both"/>
      </w:pPr>
      <w:r>
        <w:rPr>
          <w:b/>
          <w:bCs/>
        </w:rPr>
        <w:t xml:space="preserve">A katalógus a felület nyilvánosságán múlik.</w:t>
      </w:r>
      <w:r>
        <w:t xml:space="preserve"> Ezt a vázlatot azért lehetett csak részben elkészíteni, mert a válaszmezők nem publikusak. A funkciókatalógus tehát nem előfeltétele a nyitásnak, hanem </w:t>
      </w:r>
      <w:r>
        <w:rPr>
          <w:b/>
          <w:bCs/>
        </w:rPr>
        <w:t xml:space="preserve">következménye</w:t>
      </w:r>
      <w:r>
        <w:t xml:space="preserve">: a dokumentáció közzététele nélkül senki nem tudja elvégezni a besorolást — sem a jogalkotó, sem az adatvédelmi hatóság, sem maga az üzemeltető külső ellenőrzés mellett.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2E5496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after="140" w:line="276"/>
    </w:pPr>
    <w:rPr>
      <w:rFonts w:ascii="Calibri" w:cs="Calibri" w:eastAsia="Calibri" w:hAnsi="Calibri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2026-09-16T18:38:05.218Z</dcterms:created>
  <dcterms:modified xsi:type="dcterms:W3CDTF">2026-09-16T18:38:05.229Z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