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60" w:before="0"/>
      </w:pPr>
      <w:r>
        <w:t xml:space="preserve">Hivatkozás-ellenőrzés</w:t>
      </w:r>
    </w:p>
    <w:p>
      <w:pPr>
        <w:spacing w:after="140"/>
        <w:jc w:val="both"/>
      </w:pPr>
      <w:r>
        <w:t xml:space="preserve">Az </w:t>
      </w:r>
      <w:r>
        <w:rPr>
          <w:rFonts w:ascii="Consolas" w:cs="Consolas" w:eastAsia="Consolas" w:hAnsi="Consolas"/>
        </w:rPr>
        <w:t xml:space="preserve">AI-Orszag-sajat-oktatasi-adat-teljes.md</w:t>
      </w:r>
      <w:r>
        <w:t xml:space="preserve"> minden jogi, műszaki és statisztikai hivatkozásának ellenőrzése. Két kérdést tettünk fel mindegyikre: létezik-e a hivatkozott forrás a megadott azonosítóval, és valóban azt tartalmazza-e, amit a szöveg állít róla.</w:t>
      </w:r>
    </w:p>
    <w:p>
      <w:pPr>
        <w:spacing w:after="140"/>
        <w:jc w:val="both"/>
      </w:pPr>
      <w:r>
        <w:rPr>
          <w:b/>
          <w:bCs/>
        </w:rPr>
        <w:t xml:space="preserve">Ellenőrzés dátuma:</w:t>
      </w:r>
      <w:r>
        <w:t xml:space="preserve"> 2026. szeptember 26.</w:t>
      </w:r>
    </w:p>
    <w:p>
      <w:pPr>
        <w:pStyle w:val="Heading1"/>
        <w:spacing w:after="160" w:before="320"/>
      </w:pPr>
      <w:r>
        <w:t xml:space="preserve">Az ellenőrzés módszere és korlátja</w:t>
      </w:r>
    </w:p>
    <w:p>
      <w:pPr>
        <w:spacing w:after="140"/>
        <w:jc w:val="both"/>
      </w:pPr>
      <w:r>
        <w:t xml:space="preserve">A munkakörnyezet hálózati szabályzata a mérvadó forrásokat közvetlenül nem engedi elérni. Blokkolt a </w:t>
      </w:r>
      <w:r>
        <w:rPr>
          <w:rFonts w:ascii="Consolas" w:cs="Consolas" w:eastAsia="Consolas" w:hAnsi="Consolas"/>
        </w:rPr>
        <w:t xml:space="preserve">rfc-editor.org</w:t>
      </w:r>
      <w:r>
        <w:t xml:space="preserve">, a </w:t>
      </w:r>
      <w:r>
        <w:rPr>
          <w:rFonts w:ascii="Consolas" w:cs="Consolas" w:eastAsia="Consolas" w:hAnsi="Consolas"/>
        </w:rPr>
        <w:t xml:space="preserve">datatracker.ietf.org</w:t>
      </w:r>
      <w:r>
        <w:t xml:space="preserve">, az </w:t>
      </w:r>
      <w:r>
        <w:rPr>
          <w:rFonts w:ascii="Consolas" w:cs="Consolas" w:eastAsia="Consolas" w:hAnsi="Consolas"/>
        </w:rPr>
        <w:t xml:space="preserve">eur-lex.europa.eu</w:t>
      </w:r>
      <w:r>
        <w:t xml:space="preserve">, a </w:t>
      </w:r>
      <w:r>
        <w:rPr>
          <w:rFonts w:ascii="Consolas" w:cs="Consolas" w:eastAsia="Consolas" w:hAnsi="Consolas"/>
        </w:rPr>
        <w:t xml:space="preserve">ksh.hu</w:t>
      </w:r>
      <w:r>
        <w:t xml:space="preserve">, az </w:t>
      </w:r>
      <w:r>
        <w:rPr>
          <w:rFonts w:ascii="Consolas" w:cs="Consolas" w:eastAsia="Consolas" w:hAnsi="Consolas"/>
        </w:rPr>
        <w:t xml:space="preserve">oecd.org</w:t>
      </w:r>
      <w:r>
        <w:t xml:space="preserve"> és a </w:t>
      </w:r>
      <w:r>
        <w:rPr>
          <w:rFonts w:ascii="Consolas" w:cs="Consolas" w:eastAsia="Consolas" w:hAnsi="Consolas"/>
        </w:rPr>
        <w:t xml:space="preserve">tudasbazis.ekreta.hu</w:t>
      </w:r>
      <w:r>
        <w:t xml:space="preserve"> is, böngészővel és </w:t>
      </w:r>
      <w:r>
        <w:rPr>
          <w:rFonts w:ascii="Consolas" w:cs="Consolas" w:eastAsia="Consolas" w:hAnsi="Consolas"/>
        </w:rPr>
        <w:t xml:space="preserve">curl</w:t>
      </w:r>
      <w:r>
        <w:t xml:space="preserve">-lel egyaránt. Az ellenőrzés ezért kereséssel elért találatokra és a hivatkozott szövegek ismert tartalmára épül.</w:t>
      </w:r>
    </w:p>
    <w:p>
      <w:pPr>
        <w:spacing w:after="140"/>
        <w:jc w:val="both"/>
      </w:pPr>
      <w:r>
        <w:t xml:space="preserve">Ennek a gyakorlati következménye az, hogy a Hivatalos Lap és a szabványszövegek betű szerinti egyeztetése nem történt meg. Ahol a bekezdésszint dönt, ott ezt a jelentés külön jelzi. A találati szinten megerősített adatoknál a forrás URL-je rendelkezésre áll, a végleges szöveghez a lekérdezést elsődleges forrásból érdemes megismételni.</w:t>
      </w:r>
    </w:p>
    <w:p>
      <w:pPr>
        <w:pStyle w:val="Heading1"/>
        <w:spacing w:after="160" w:before="320"/>
      </w:pPr>
      <w:r>
        <w:t xml:space="preserve">1. Amit javítani kell</w:t>
      </w:r>
    </w:p>
    <w:p>
      <w:pPr>
        <w:spacing w:after="140"/>
        <w:jc w:val="both"/>
      </w:pPr>
      <w:r>
        <w:t xml:space="preserve">Négy tárgyi tévedést találtunk.</w:t>
      </w:r>
    </w:p>
    <w:p>
      <w:pPr>
        <w:pStyle w:val="Heading2"/>
        <w:spacing w:after="160" w:before="320"/>
      </w:pPr>
      <w:r>
        <w:t xml:space="preserve">1.1 A Model Context Protocol és az OAuth összekapcsolása téves dátumon</w:t>
      </w:r>
    </w:p>
    <w:p>
      <w:pPr>
        <w:spacing w:after="140"/>
        <w:jc w:val="both"/>
      </w:pPr>
      <w:r>
        <w:t xml:space="preserve">A 2. fejezet azt írja, hogy „2024 novemberében megjelenik a Model Context Protocol, amely OAuth-alapú delegált hozzáférésre építve ad szabványos módot MI-asszisztensek külső rendszerekhez kapcsolására".</w:t>
      </w:r>
    </w:p>
    <w:p>
      <w:pPr>
        <w:spacing w:after="140"/>
        <w:jc w:val="both"/>
      </w:pPr>
      <w:r>
        <w:t xml:space="preserve">A protokoll 2024. november 5-i első kiadása nem tartalmazott engedélyezési réteget. Az OAuth 2.1-re épülő felhatalmazási specifikáció a 2025. március 26-i változattal került be, a Streamable HTTP átvitellel együtt. A mondat mai formájában olyan tulajdonságot tulajdonít a 2024 novemberi kiadásnak, amely akkor még nem volt a része.</w:t>
      </w:r>
    </w:p>
    <w:p>
      <w:pPr>
        <w:spacing w:after="140"/>
        <w:jc w:val="both"/>
      </w:pPr>
      <w:r>
        <w:t xml:space="preserve">Ez azért nem mellékes, mert éppen ez a hivatkozás mondja ki, hogy a javaslat műszaki megoldása iparági szabvány. Egy bíráló, aki utánanéz, itt talál fogást a szövegen.</w:t>
      </w:r>
    </w:p>
    <w:p>
      <w:pPr>
        <w:spacing w:after="140"/>
        <w:jc w:val="both"/>
      </w:pPr>
      <w:r>
        <w:rPr>
          <w:i/>
          <w:iCs/>
        </w:rPr>
        <w:t xml:space="preserve">Javasolt szöveg:</w:t>
      </w:r>
      <w:r>
        <w:t xml:space="preserve"> „2024 novemberében megjelenik a Model Context Protocol, amely szabványos módot ad MI-asszisztensek külső rendszerekhez kapcsolására. A protokoll 2025. márciusi változata OAuth 2.1-re épülő felhatalmazási réteggel egészül ki, vagyis ugyanazt a megoldást írja elő, amelyet ez az előterjesztés javasol."</w:t>
      </w:r>
    </w:p>
    <w:p>
      <w:pPr>
        <w:pStyle w:val="Heading2"/>
        <w:spacing w:after="160" w:before="320"/>
      </w:pPr>
      <w:r>
        <w:t xml:space="preserve">1.2 Az egészségügyi adattér hatálybalépésének napja</w:t>
      </w:r>
    </w:p>
    <w:p>
      <w:pPr>
        <w:spacing w:after="140"/>
        <w:jc w:val="both"/>
      </w:pPr>
      <w:r>
        <w:t xml:space="preserve">A 3.3 pont szerint a rendelet „hatályba lépett 2025. március 25-én". A rendeletet 2025. március 5-én hirdették ki, és a kihirdetést követő huszadik napon, </w:t>
      </w:r>
      <w:r>
        <w:rPr>
          <w:b/>
          <w:bCs/>
        </w:rPr>
        <w:t xml:space="preserve">2025. március 26-án</w:t>
      </w:r>
      <w:r>
        <w:t xml:space="preserve"> lépett hatályba.</w:t>
      </w:r>
    </w:p>
    <w:p>
      <w:pPr>
        <w:pStyle w:val="Heading2"/>
        <w:spacing w:after="160" w:before="320"/>
      </w:pPr>
      <w:r>
        <w:t xml:space="preserve">1.3 A 3. cikk alkalmazásának kezdete négy évvel későbbi, mint ahogy a szöveg írja</w:t>
      </w:r>
    </w:p>
    <w:p>
      <w:pPr>
        <w:spacing w:after="140"/>
        <w:jc w:val="both"/>
      </w:pPr>
      <w:r>
        <w:t xml:space="preserve">Ez a jelentés legsúlyosabb megállapítása.</w:t>
      </w:r>
    </w:p>
    <w:p>
      <w:pPr>
        <w:spacing w:after="140"/>
        <w:jc w:val="both"/>
      </w:pPr>
      <w:r>
        <w:t xml:space="preserve">A 3.3 pont szerint a rendelet „alkalmazása jellemzően 2027. március 26-tól kezdődik". Az általános alkalmazási időpontra ez igaz. A 3–15. cikk, a 23. cikk (2)–(6) bekezdése, a 25., 26., 27., 47., 48. és 49. cikk alkalmazása azonban </w:t>
      </w:r>
      <w:r>
        <w:rPr>
          <w:b/>
          <w:bCs/>
        </w:rPr>
        <w:t xml:space="preserve">2027. március 26. helyett 2031. március 26-án</w:t>
      </w:r>
      <w:r>
        <w:t xml:space="preserve"> kezdődik.</w:t>
      </w:r>
    </w:p>
    <w:p>
      <w:pPr>
        <w:spacing w:after="140"/>
        <w:jc w:val="both"/>
      </w:pPr>
      <w:r>
        <w:t xml:space="preserve">Az előterjesztés éppen a 3. cikket hívja fel precedensként. A jelenlegi megfogalmazás tehát azt sugallja, hogy a precedens fél éven belül élő joggá válik, miközben a hivatkozott cikk a valóságban 2031-ig nem alkalmazandó.</w:t>
      </w:r>
    </w:p>
    <w:p>
      <w:pPr>
        <w:spacing w:after="140"/>
        <w:jc w:val="both"/>
      </w:pPr>
      <w:r>
        <w:t xml:space="preserve">A javítás a precedens erejét nem rontja le, mert a jogi szerkezet ugyanaz marad: ágazati uniós jogszabály hoz létre elektronikus hozzáférési jogot közfeladaton alapuló, különösen érzékeny nyilvántartásban. Amit a pontosítás megváltoztat, az az ütemezés olvasata, és ez a javaslat javára fordítható. Az Unió ugyanerre a feladatra hat évet szánt a hatálybalépéstől. Az előterjesztés 2027 szeptemberi éles indulása ehhez mérve gyors, és a 8. fejezet ütemterve a nemzetközi gyakorlathoz képest nem tekinthető elnagyoltnak.</w:t>
      </w:r>
    </w:p>
    <w:p>
      <w:pPr>
        <w:spacing w:after="140"/>
        <w:jc w:val="both"/>
      </w:pPr>
      <w:r>
        <w:rPr>
          <w:i/>
          <w:iCs/>
        </w:rPr>
        <w:t xml:space="preserve">Javasolt szöveg:</w:t>
      </w:r>
      <w:r>
        <w:t xml:space="preserve"> „Hatályba lépett 2025. március 26-án. Az általános alkalmazás 2027. március 26-tól kezdődik, a 3–15. cikk alkalmazása azonban csak 2031. március 26-tól. Az Unió tehát ugyanerre a feladatra a hatálybalépéstől számítva hat évet szánt; az alábbi ütemterv ehhez mérve gyorsabb."</w:t>
      </w:r>
    </w:p>
    <w:p>
      <w:pPr>
        <w:pStyle w:val="Heading2"/>
        <w:spacing w:after="160" w:before="320"/>
      </w:pPr>
      <w:r>
        <w:t xml:space="preserve">1.4 A pedagóguslétszám két tanévből származik, egyetlen forrásmegjelöléssel</w:t>
      </w:r>
    </w:p>
    <w:p>
      <w:pPr>
        <w:spacing w:after="140"/>
        <w:jc w:val="both"/>
      </w:pPr>
      <w:r>
        <w:t xml:space="preserve">Az 1.5 pont táblázata az általános iskolai pedagógusok számát „kb. 74 000 fő", forrásként „KSH, 2024/2025, előzetes" megjelöléssel adja meg. A 2024/2025-ös előzetes adat </w:t>
      </w:r>
      <w:r>
        <w:rPr>
          <w:b/>
          <w:bCs/>
        </w:rPr>
        <w:t xml:space="preserve">73 ezer fő</w:t>
      </w:r>
      <w:r>
        <w:t xml:space="preserve">; a 74 ezer a 2025/2026-os tanév adata. A táblázat többi köznevelési sora 2024/2025-ös, tehát a 74 ezer önmagában áll ki a sorból.</w:t>
      </w:r>
    </w:p>
    <w:p>
      <w:pPr>
        <w:spacing w:after="140"/>
        <w:jc w:val="both"/>
      </w:pPr>
      <w:r>
        <w:t xml:space="preserve">A javítás továbbvezet a 4.1 pont számításába: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Érték</w:t>
            </w:r>
          </w:p>
        </w:tc>
        <w:tc>
          <w:tcPr>
            <w:tcW w:type="dxa" w:w="3008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Jelenlegi szöveg</w:t>
            </w:r>
          </w:p>
        </w:tc>
        <w:tc>
          <w:tcPr>
            <w:tcW w:type="dxa" w:w="3010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Javított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általános iskolai pedagógus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74 ezer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73 ezer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 hatásbecslés alapköre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117 ezer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116 ezer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éves adminisztrációs óraszám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13,5 millió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13,4 millió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 kiemelt példa (14%)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1,9 millió óra, 16 óra/pedagógus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változatlan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 17,5%-os cella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2,4 millió óra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2,3 millió óra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40"/>
        <w:jc w:val="both"/>
      </w:pPr>
      <w:r>
        <w:t xml:space="preserve">A példaszámítás tehát nem sérül, és a fejezet fő állítása sem. Egyetlen rácscella és két összesítő szám változik.</w:t>
      </w:r>
    </w:p>
    <w:p>
      <w:pPr>
        <w:spacing w:after="140"/>
        <w:jc w:val="both"/>
      </w:pPr>
      <w:r>
        <w:t xml:space="preserve">A köznevelés és a szakképzés együttes 148 ezres létszáma a 2024/2025-ös adathoz illeszkedik: a 2025/2026-os előzetes adat 149 ezer fő, ami egy év alatt 1600 fős növekedés.</w:t>
      </w:r>
    </w:p>
    <w:p>
      <w:pPr>
        <w:pStyle w:val="Heading1"/>
        <w:spacing w:after="160" w:before="320"/>
      </w:pPr>
      <w:r>
        <w:t xml:space="preserve">2. Amit pontosítani érdemes</w:t>
      </w:r>
    </w:p>
    <w:p>
      <w:pPr>
        <w:spacing w:after="140"/>
        <w:jc w:val="both"/>
      </w:pPr>
      <w:r>
        <w:t xml:space="preserve">Ezek nem tévedések, hanem olyan megfogalmazások, amelyeknél a hivatkozott szöveg mást vagy kevesebbet mond, mint amit az olvasó a mondatból kiolvas.</w:t>
      </w:r>
    </w:p>
    <w:p>
      <w:pPr>
        <w:pStyle w:val="Heading2"/>
        <w:spacing w:after="160" w:before="320"/>
      </w:pPr>
      <w:r>
        <w:t xml:space="preserve">2.1 A (63) preambulumbekezdés megengedő, nem ajánló</w:t>
      </w:r>
    </w:p>
    <w:p>
      <w:pPr>
        <w:spacing w:after="140"/>
        <w:jc w:val="both"/>
      </w:pPr>
      <w:r>
        <w:t xml:space="preserve">A 3.1 pont szerint a preambulumbekezdés „azt ajánlja, hogy ahol lehetséges, az adatkezelő biztosítson távoli hozzáférést". A szöveg valójában úgy szól, hogy ahol lehetséges, az adatkezelő </w:t>
      </w:r>
      <w:r>
        <w:rPr>
          <w:b/>
          <w:bCs/>
        </w:rPr>
        <w:t xml:space="preserve">legyen képes</w:t>
      </w:r>
      <w:r>
        <w:t xml:space="preserve"> távoli hozzáférést biztosítani olyan biztonságos rendszerhez, amely az érintettnek közvetlen hozzáférést ad a saját adataihoz.</w:t>
      </w:r>
    </w:p>
    <w:p>
      <w:pPr>
        <w:spacing w:after="140"/>
        <w:jc w:val="both"/>
      </w:pPr>
      <w:r>
        <w:t xml:space="preserve">A különbség kicsi, de egy jogi bíráló pontosan itt fog megállni. A mai mondat kötelezettség-közeli ajánlást olvas bele egy megengedő fordulatba, és mivel a bekezdés úgyis csak preambulum, a pontosítás semmit nem vesz el az érvből.</w:t>
      </w:r>
    </w:p>
    <w:p>
      <w:pPr>
        <w:spacing w:after="140"/>
        <w:jc w:val="both"/>
      </w:pPr>
      <w:r>
        <w:rPr>
          <w:i/>
          <w:iCs/>
        </w:rPr>
        <w:t xml:space="preserve">Javasolt szöveg:</w:t>
      </w:r>
      <w:r>
        <w:t xml:space="preserve"> „A (63) preambulumbekezdés ennél tovább megy, amikor lehetőségként rögzíti, hogy ahol lehetséges, az adatkezelő legyen képes távoli hozzáférést biztosítani olyan biztonságos rendszerhez, amely az érintettnek közvetlen hozzáférést ad a saját adataihoz."</w:t>
      </w:r>
    </w:p>
    <w:p>
      <w:pPr>
        <w:pStyle w:val="Heading2"/>
        <w:spacing w:after="160" w:before="320"/>
      </w:pPr>
      <w:r>
        <w:t xml:space="preserve">2.2 A 15. cikk szerinti másolat nem „egyszeri"</w:t>
      </w:r>
    </w:p>
    <w:p>
      <w:pPr>
        <w:spacing w:after="140"/>
        <w:jc w:val="both"/>
      </w:pPr>
      <w:r>
        <w:t xml:space="preserve">A 3.1 pont a hozzáférési jogot „egyszeri adatmásolat formájában" írja le. A 15. cikk (3) bekezdése az első másolatot ingyenesen biztosítja, a további másolatokért az adatkezelő észszerű díjat kérhet. A szöveg által kifejezni kívánt tartalom, vagyis hogy ez eseti kérelemre adott másolat és nem folyamatos gépi hozzáférés, pontosabban is megfogalmazható.</w:t>
      </w:r>
    </w:p>
    <w:p>
      <w:pPr>
        <w:spacing w:after="140"/>
        <w:jc w:val="both"/>
      </w:pPr>
      <w:r>
        <w:rPr>
          <w:i/>
          <w:iCs/>
        </w:rPr>
        <w:t xml:space="preserve">Javasolt szöveg:</w:t>
      </w:r>
      <w:r>
        <w:t xml:space="preserve"> „…hozzáférési jogot biztosít az érintettnek, kérelemre adott adatmásolat formájában, amely eseti és nem folyamatos gépi hozzáférés."</w:t>
      </w:r>
    </w:p>
    <w:p>
      <w:pPr>
        <w:pStyle w:val="Heading2"/>
        <w:spacing w:after="160" w:before="320"/>
      </w:pPr>
      <w:r>
        <w:t xml:space="preserve">2.3 A brit versenyhatósági kötelezés megnevezhető</w:t>
      </w:r>
    </w:p>
    <w:p>
      <w:pPr>
        <w:spacing w:after="140"/>
        <w:jc w:val="both"/>
      </w:pPr>
      <w:r>
        <w:t xml:space="preserve">A 3.6 pont szerint „a brit versenyhatóság pedig 2018-tól egységes nyílt banki API-szabványt tett kötelezővé". Ez tartalmilag helyes. A kötelezést tartalmazó jogi eszköz a </w:t>
      </w:r>
      <w:r>
        <w:rPr>
          <w:i/>
          <w:iCs/>
        </w:rPr>
        <w:t xml:space="preserve">Retail Banking Market Investigation Order 2017</w:t>
      </w:r>
      <w:r>
        <w:t xml:space="preserve">, amelynek 14. cikke 2018. január 13-át szabta végrehajtási határidőül a kilenc legnagyobb bank számára. A megnevezés hozzáadása a hivatkozást ellenőrizhetővé teszi.</w:t>
      </w:r>
    </w:p>
    <w:p>
      <w:pPr>
        <w:pStyle w:val="Heading2"/>
        <w:spacing w:after="160" w:before="320"/>
      </w:pPr>
      <w:r>
        <w:t xml:space="preserve">2.4 A dokumentációs kötelezettség fél évvel a megfelelési határnap előtt kezdődött</w:t>
      </w:r>
    </w:p>
    <w:p>
      <w:pPr>
        <w:spacing w:after="140"/>
        <w:jc w:val="both"/>
      </w:pPr>
      <w:r>
        <w:t xml:space="preserve">A 3.6 pont a dedikált felület, a nyilvános specifikáció és a tesztkörnyezet követelményét 2019. szeptember 14-hez kapcsolja. A megfelelési határnapra ez igaz, a dokumentáció átadására és a tesztkörnyezet biztosítására azonban már 2019. március 14-től kötelezettek voltak a számlavezetők, tehát fél évvel a felület éles indulása előtt.</w:t>
      </w:r>
    </w:p>
    <w:p>
      <w:pPr>
        <w:spacing w:after="140"/>
        <w:jc w:val="both"/>
      </w:pPr>
      <w:r>
        <w:t xml:space="preserve">Ez a részlet a javaslat mellett szól, mert ugyanezt a szerkezetet követi a 8. fejezet ütemterve is, amikor a dokumentáció és a tesztkörnyezet közzétételét 2027. június 30-ra, az éles indulást 2027. szeptember 1-jére teszi. Érdemes kimondani, hogy ez a sorrend a PSD2 gyakorlatából származik.</w:t>
      </w:r>
    </w:p>
    <w:p>
      <w:pPr>
        <w:pStyle w:val="Heading1"/>
        <w:spacing w:after="160" w:before="320"/>
      </w:pPr>
      <w:r>
        <w:t xml:space="preserve">3. Egy [ELLENŐRIZENDŐ] jelölés feloldható</w:t>
      </w:r>
    </w:p>
    <w:p>
      <w:pPr>
        <w:spacing w:after="140"/>
        <w:jc w:val="both"/>
      </w:pPr>
      <w:r>
        <w:t xml:space="preserve">Az 1.4 pont a KRÉTA tudásbázisára hivatkozik, a cikk pontos adatait pótolandóként jelölve. A hivatkozott tartalom megtalálható:</w:t>
      </w:r>
    </w:p>
    <w:p>
      <w:pPr>
        <w:spacing w:after="140"/>
        <w:jc w:val="both"/>
      </w:pPr>
      <w:r>
        <w:rPr>
          <w:b/>
          <w:bCs/>
        </w:rPr>
        <w:t xml:space="preserve">Gyakran Ismételt Kérdések – KRÉTA Mobil applikációk, KRÉTA Tudásbázis</w:t>
      </w:r>
    </w:p>
    <w:p>
      <w:pPr>
        <w:spacing w:after="140"/>
        <w:jc w:val="both"/>
      </w:pPr>
      <w:r>
        <w:t xml:space="preserve">https://tudasbazis.ekreta.hu/pages/viewpage.action?pageId=4065021</w:t>
      </w:r>
    </w:p>
    <w:p>
      <w:pPr>
        <w:spacing w:after="140"/>
        <w:jc w:val="both"/>
      </w:pPr>
      <w:r>
        <w:t xml:space="preserve">A lap tartalma megerősíti az előterjesztés állítását: ha a felhasználó adatai helyesek és a webes belépés sikeres, a mobilos belépés biztonsági okból ideiglenesen felfüggeszthető, mert a fiókhoz rendellenes működést észleltek, és ez akkor fordulhat elő, ha nem hivatalos KRÉTA-alkalmazás fut a készüléken vagy ugyanazzal a profillal egy másik készüléken.</w:t>
      </w:r>
    </w:p>
    <w:p>
      <w:pPr>
        <w:spacing w:after="140"/>
        <w:jc w:val="both"/>
      </w:pPr>
      <w:r>
        <w:t xml:space="preserve">A lap ezen túl is megy, és ezt az előterjesztés ma nem használja ki. Kimondja, hogy a KRÉTA-hoz kapcsolódó, nem hivatalos, harmadik fél által fejlesztett alkalmazások használata nem javasolt és saját felelősségre történik, továbbá hogy az üzemeltető semmilyen felelősséget nem vállal ezek működéséért, biztonságáért, adatkezelési gyakorlatáért, sem a használatukból eredő kárért, adatvesztésért vagy adatvédelmi incidensért.</w:t>
      </w:r>
    </w:p>
    <w:p>
      <w:pPr>
        <w:spacing w:after="140"/>
        <w:jc w:val="both"/>
      </w:pPr>
      <w:r>
        <w:t xml:space="preserve">Ez az 1.4 pont állítását, vagyis hogy a zártság szándékolt üzemeltetői álláspont, közvetlen idézettel támasztja alá. A lap ebben a környezetben nem elérhető, ezért a betű szerinti magyar szöveget és a lekérdezés dátumát a végleges változatba kézzel kell bemásolni, lehetőleg archivált példánnyal együtt.</w:t>
      </w:r>
    </w:p>
    <w:p>
      <w:pPr>
        <w:pStyle w:val="Heading1"/>
        <w:spacing w:after="160" w:before="320"/>
      </w:pPr>
      <w:r>
        <w:t xml:space="preserve">4. Ami nyitva marad</w:t>
      </w:r>
    </w:p>
    <w:p>
      <w:pPr>
        <w:spacing w:after="140"/>
        <w:jc w:val="both"/>
      </w:pPr>
      <w:r>
        <w:rPr>
          <w:b/>
          <w:bCs/>
        </w:rPr>
        <w:t xml:space="preserve">Az átlagos osztálylétszám</w:t>
      </w:r>
      <w:r>
        <w:t xml:space="preserve"> (4.3 pont) a KSH előzetes oktatási kiadványában nem szerepel. Ami szerepel, az az egy pedagógusra jutó tanulók száma, országos átlagban 9,7 fő a 2024/2025-ös tanévben. A 4.3 pont érve azonban nem igényel pontos osztálylétszámot, hiszen azt állítja, hogy egyetlen másolással egy teljes osztály adata mozdul. A jelölés elhagyható, ha a mondat számot nem nevez meg.</w:t>
      </w:r>
    </w:p>
    <w:p>
      <w:pPr>
        <w:spacing w:after="140"/>
        <w:jc w:val="both"/>
      </w:pPr>
      <w:r>
        <w:rPr>
          <w:b/>
          <w:bCs/>
        </w:rPr>
        <w:t xml:space="preserve">A KRÉTA-alkalmazások megjelenési éve</w:t>
      </w:r>
      <w:r>
        <w:t xml:space="preserve"> (2. fejezet) nem oldható fel kereséssel. Az alkalmazásáruházak közzétételi dátuma vagy a tudásbázis változásnaplója adhatja meg.</w:t>
      </w:r>
    </w:p>
    <w:p>
      <w:pPr>
        <w:spacing w:after="140"/>
        <w:jc w:val="both"/>
      </w:pPr>
      <w:r>
        <w:rPr>
          <w:b/>
          <w:bCs/>
        </w:rPr>
        <w:t xml:space="preserve">Az egészségügyi adattér 3. cikkének bekezdésszintű hivatkozása</w:t>
      </w:r>
      <w:r>
        <w:t xml:space="preserve"> továbbra is nyitott. A cikk címe és tárgya megerősített, vagyis a természetes személy joga a saját elektronikus egészségügyi adataihoz való hozzáféréshez, beleértve az európai csereformátumban való letöltést. Az az állítás, hogy az érintett maga adhat hozzáférést az általa választott szereplőnek, a cikk későbbi bekezdéseiben szerepel, de a bekezdés száma a Hivatalos Lap szövege nélkül nem állapítható meg.</w:t>
      </w:r>
    </w:p>
    <w:p>
      <w:pPr>
        <w:pStyle w:val="Heading1"/>
        <w:spacing w:after="160" w:before="320"/>
      </w:pPr>
      <w:r>
        <w:t xml:space="preserve">5. Amit az ellenőrzés megerősített</w:t>
      </w:r>
    </w:p>
    <w:p>
      <w:pPr>
        <w:pStyle w:val="Heading2"/>
        <w:spacing w:after="160" w:before="320"/>
      </w:pPr>
      <w:r>
        <w:t xml:space="preserve">Jogforrások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Hivatkozás</w:t>
            </w:r>
          </w:p>
        </w:tc>
        <w:tc>
          <w:tcPr>
            <w:tcW w:type="dxa" w:w="2256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Létezik</w:t>
            </w:r>
          </w:p>
        </w:tc>
        <w:tc>
          <w:tcPr>
            <w:tcW w:type="dxa" w:w="2256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 tartalom egyezik</w:t>
            </w:r>
          </w:p>
        </w:tc>
        <w:tc>
          <w:tcPr>
            <w:tcW w:type="dxa" w:w="2258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Megjegyzés</w:t>
            </w:r>
          </w:p>
        </w:tc>
      </w:tr>
      <w:tr>
        <w:trPr>
          <w:tblHeader w:val="false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GDPR 12. cikk (2)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igen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igen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az érintetti jogok gyakorlásának elősegítése</w:t>
            </w:r>
          </w:p>
        </w:tc>
      </w:tr>
      <w:tr>
        <w:trPr>
          <w:tblHeader w:val="false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GDPR 15. cikk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igen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pontosítandó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lásd 2.2</w:t>
            </w:r>
          </w:p>
        </w:tc>
      </w:tr>
      <w:tr>
        <w:trPr>
          <w:tblHeader w:val="false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GDPR 20. cikk (3)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igen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igen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 közérdekű vagy közhatalmi feladat kivétele</w:t>
            </w:r>
          </w:p>
        </w:tc>
      </w:tr>
      <w:tr>
        <w:trPr>
          <w:tblHeader w:val="false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GDPR 20. cikk (4)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igen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igen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mások jogait és szabadságait nem sértheti</w:t>
            </w:r>
          </w:p>
        </w:tc>
      </w:tr>
      <w:tr>
        <w:trPr>
          <w:tblHeader w:val="false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GDPR 28. cikk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igen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igen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adatfeldolgozói szerződés</w:t>
            </w:r>
          </w:p>
        </w:tc>
      </w:tr>
      <w:tr>
        <w:trPr>
          <w:tblHeader w:val="false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GDPR (63) preambulum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igen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pontosítandó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lásd 2.1</w:t>
            </w:r>
          </w:p>
        </w:tc>
      </w:tr>
      <w:tr>
        <w:trPr>
          <w:tblHeader w:val="false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GDPR alkalmazása 2018. május 25.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igen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igen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(EU) 2015/2366 irányelv (PSD2)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igen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igen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irányelv, a forrásjegyzék így is jelöli</w:t>
            </w:r>
          </w:p>
        </w:tc>
      </w:tr>
      <w:tr>
        <w:trPr>
          <w:tblHeader w:val="false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(EU) 2018/389 felhatalmazáson alapuló rendelet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igen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igen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2017. november 27-i, dedikált felület, nyilvános dokumentáció, tesztkörnyezet; a dátumhoz lásd 2.4</w:t>
            </w:r>
          </w:p>
        </w:tc>
      </w:tr>
      <w:tr>
        <w:trPr>
          <w:tblHeader w:val="false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(EU) 2023/2854 (adatrendelet) II. fejezet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igen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igen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 II. fejezet a 3–7. cikk, összekapcsolt termékek és kapcsolódó szolgáltatások; a tanulmányi nyilvántartás valóban kívül esik, a szöveg helyesen csak irányjelzőként hívja fel</w:t>
            </w:r>
          </w:p>
        </w:tc>
      </w:tr>
      <w:tr>
        <w:trPr>
          <w:tblHeader w:val="false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(EU) 2024/1689 (MI-rendelet) 4. cikk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igen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igen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MI-jártasság, 2025. február 2-tól alkalmazandó</w:t>
            </w:r>
          </w:p>
        </w:tc>
      </w:tr>
      <w:tr>
        <w:trPr>
          <w:tblHeader w:val="false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(EU) 2025/327 (egészségügyi adattér) 3. cikk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igen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részben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 cikk tárgya egyezik, a dátumok javítandók, lásd 1.2 és 1.3</w:t>
            </w:r>
          </w:p>
        </w:tc>
      </w:tr>
      <w:tr>
        <w:trPr>
          <w:tblHeader w:val="false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2011. évi CXC. törvény a nemzeti köznevelésről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igen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igen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2011. évi CCIV. törvény a nemzeti felsőoktatásról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igen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igen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brit versenyhatósági nyílt banki kötelezés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igen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igen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megnevezéshez lásd 2.3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320"/>
      </w:pPr>
      <w:r>
        <w:t xml:space="preserve">Műszaki szabványok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Hivatkozás</w:t>
            </w:r>
          </w:p>
        </w:tc>
        <w:tc>
          <w:tcPr>
            <w:tcW w:type="dxa" w:w="2256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Létezik</w:t>
            </w:r>
          </w:p>
        </w:tc>
        <w:tc>
          <w:tcPr>
            <w:tcW w:type="dxa" w:w="2256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Cím és év helyes</w:t>
            </w:r>
          </w:p>
        </w:tc>
        <w:tc>
          <w:tcPr>
            <w:tcW w:type="dxa" w:w="2258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Megjegyzés</w:t>
            </w:r>
          </w:p>
        </w:tc>
      </w:tr>
      <w:tr>
        <w:trPr>
          <w:tblHeader w:val="false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RFC 6749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igen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igen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The OAuth 2.0 Authorization Framework, 2012</w:t>
            </w:r>
          </w:p>
        </w:tc>
      </w:tr>
      <w:tr>
        <w:trPr>
          <w:tblHeader w:val="false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RFC 7009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igen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igen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OAuth 2.0 Token Revocation, 2013</w:t>
            </w:r>
          </w:p>
        </w:tc>
      </w:tr>
      <w:tr>
        <w:trPr>
          <w:tblHeader w:val="false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RFC 7591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igen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igen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OAuth 2.0 Dynamic Client Registration Protocol, 2015</w:t>
            </w:r>
          </w:p>
        </w:tc>
      </w:tr>
      <w:tr>
        <w:trPr>
          <w:tblHeader w:val="false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RFC 7636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igen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igen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 teljes cím: Proof Key for Code Exchange by OAuth Public Clients, 2015</w:t>
            </w:r>
          </w:p>
        </w:tc>
      </w:tr>
      <w:tr>
        <w:trPr>
          <w:tblHeader w:val="false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RFC 8414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igen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igen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OAuth 2.0 Authorization Server Metadata, 2018</w:t>
            </w:r>
          </w:p>
        </w:tc>
      </w:tr>
      <w:tr>
        <w:trPr>
          <w:tblHeader w:val="false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RFC 9700 (BCP 240)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igen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igen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Best Current Practice for OAuth 2.0 Security, 2025. január; kötelezővé teszi a PKCE-t, elavulttá nyilvánítja az implicit és a jelszó alapú folyamatot, kezeli az összekeverési támadásokat, és ajánlja a birtokláshoz kötött tokeneket. A 7.2 és a III. pont minden állítása helyes.</w:t>
            </w:r>
          </w:p>
        </w:tc>
      </w:tr>
      <w:tr>
        <w:trPr>
          <w:tblHeader w:val="false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FAPI 2.0 Security Profile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igen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igen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OpenID Foundation, végleges specifikációként 2025 februárjában elfogadva, formális biztonsági elemzéssel</w:t>
            </w:r>
          </w:p>
        </w:tc>
      </w:tr>
      <w:tr>
        <w:trPr>
          <w:tblHeader w:val="false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Model Context Protocol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igen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javítandó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lásd 1.1</w:t>
            </w:r>
          </w:p>
        </w:tc>
      </w:tr>
      <w:tr>
        <w:trPr>
          <w:tblHeader w:val="false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Ed-Fi Alliance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igen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igen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nyílt adatszabvány közoktatási rendszerek adatcseréjéhez</w:t>
            </w:r>
          </w:p>
        </w:tc>
      </w:tr>
      <w:tr>
        <w:trPr>
          <w:tblHeader w:val="false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1EdTech OneRoster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igen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igen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Erasmus Without Paper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igen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igen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320"/>
      </w:pPr>
      <w:r>
        <w:t xml:space="preserve">Statisztikai források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Adat</w:t>
            </w:r>
          </w:p>
        </w:tc>
        <w:tc>
          <w:tcPr>
            <w:tcW w:type="dxa" w:w="2256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 szövegben</w:t>
            </w:r>
          </w:p>
        </w:tc>
        <w:tc>
          <w:tcPr>
            <w:tcW w:type="dxa" w:w="2256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Ellenőrzés</w:t>
            </w:r>
          </w:p>
        </w:tc>
        <w:tc>
          <w:tcPr>
            <w:tcW w:type="dxa" w:w="2258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Állapot</w:t>
            </w:r>
          </w:p>
        </w:tc>
      </w:tr>
      <w:tr>
        <w:trPr>
          <w:tblHeader w:val="false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ált. isk. adminisztrációs idő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heti 3,2 óra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3,2 óra, TALIS 2024 Magyarország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egyezik</w:t>
            </w:r>
          </w:p>
        </w:tc>
      </w:tr>
      <w:tr>
        <w:trPr>
          <w:tblHeader w:val="false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OECD-átlag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3 óra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3 óra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egyezik</w:t>
            </w:r>
          </w:p>
        </w:tc>
      </w:tr>
      <w:tr>
        <w:trPr>
          <w:tblHeader w:val="false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2018 óta nem csökkent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igen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„has not changed since 2018"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egyezik</w:t>
            </w:r>
          </w:p>
        </w:tc>
      </w:tr>
      <w:tr>
        <w:trPr>
          <w:tblHeader w:val="false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 stressz forrása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55% túl sok adminisztráció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55%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egyezik</w:t>
            </w:r>
          </w:p>
        </w:tc>
      </w:tr>
      <w:tr>
        <w:trPr>
          <w:tblHeader w:val="false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ált. isk. tanulók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kb. 710 000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710 ezer, 2024/2025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egyezik</w:t>
            </w:r>
          </w:p>
        </w:tc>
      </w:tr>
      <w:tr>
        <w:trPr>
          <w:tblHeader w:val="false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ált. isk. pedagógusok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kb. 74 000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73 ezer 2024/2025-ben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javítandó, lásd 1.4</w:t>
            </w:r>
          </w:p>
        </w:tc>
      </w:tr>
      <w:tr>
        <w:trPr>
          <w:tblHeader w:val="false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középfokú pedagógusok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kb. 43 000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43 ezer, 2024/2025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egyezik</w:t>
            </w:r>
          </w:p>
        </w:tc>
      </w:tr>
      <w:tr>
        <w:trPr>
          <w:tblHeader w:val="false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óvodapedagógusok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kb. 31 000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31 ezer felett, 2024/2025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egyezik</w:t>
            </w:r>
          </w:p>
        </w:tc>
      </w:tr>
      <w:tr>
        <w:trPr>
          <w:tblHeader w:val="false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felsőoktatási hallgatók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kb. 351 000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351 ezer, 2025/2026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egyezik</w:t>
            </w:r>
          </w:p>
        </w:tc>
      </w:tr>
      <w:tr>
        <w:trPr>
          <w:tblHeader w:val="false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köznevelés és szakképzés együtt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közel 148 ezer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2025/2026-ban 149 ezer, egy évvel korábban 1600 fővel kevesebb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egyezik a 2024/2025-ös évre</w:t>
            </w:r>
          </w:p>
        </w:tc>
      </w:tr>
      <w:tr>
        <w:trPr>
          <w:tblHeader w:val="false"/>
        </w:trP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Neptun mobilalkalmazás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2023. október 19.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2023. október 19., a kétfaktoros belépés bevezetésével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egyezik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40"/>
        <w:jc w:val="both"/>
      </w:pPr>
      <w:r>
        <w:t xml:space="preserve">A TALIS 2024 magyar országjelentésének mind a négy felhasznált száma pontosan egyezik. A 4.1 pont heti 3,2 órát 36 tanítási héttel számol, ami a magyar tanév hosszához illeszkedik, és a TALIS a tanítási időszak egy jellemző hetére kérdez rá.</w:t>
      </w:r>
    </w:p>
    <w:p>
      <w:pPr>
        <w:pStyle w:val="Heading1"/>
        <w:spacing w:after="160" w:before="320"/>
      </w:pPr>
      <w:r>
        <w:t xml:space="preserve">6. Mit jelent ez a javaslat egészére</w:t>
      </w:r>
    </w:p>
    <w:p>
      <w:pPr>
        <w:spacing w:after="140"/>
        <w:jc w:val="both"/>
      </w:pPr>
      <w:r>
        <w:t xml:space="preserve">Az ellenőrzés negyvennégy hivatkozást érintett. Egyetlen hivatkozott jogszabály, szabvány vagy kiadvány sem hiányzik vagy tévesen azonosított, tehát olyan hiba nem fordult elő, amely a javaslat érvelését alapjaiban érintené.</w:t>
      </w:r>
    </w:p>
    <w:p>
      <w:pPr>
        <w:spacing w:after="140"/>
        <w:jc w:val="both"/>
      </w:pPr>
      <w:r>
        <w:t xml:space="preserve">A négy tárgyi tévedés közül három dátum, egy pedig egy statisztikai év elcsúszása. A javítás egyike sem igényel szerkezeti változtatást, és a hatásbecslés kiemelt példaszámítása érintetlen marad.</w:t>
      </w:r>
    </w:p>
    <w:p>
      <w:pPr>
        <w:spacing w:after="140"/>
        <w:jc w:val="both"/>
      </w:pPr>
      <w:r>
        <w:t xml:space="preserve">Egy megállapítás érdemben is hasznos. Az egészségügyi adattér 3. cikkének 2031-es alkalmazási időpontja a javaslat ütemtervét kedvezőbb megvilágításba helyezi, mint a mostani szöveg, és ezt az érvet érdemes kimondani a 3.3 pontban.</w:t>
      </w:r>
    </w:p>
    <w:p>
      <w:pPr>
        <w:spacing w:after="140"/>
        <w:jc w:val="both"/>
      </w:pPr>
      <w:r>
        <w:t xml:space="preserve">A KRÉTA-tudásbázis feloldott hivatkozása pedig többet kínál, mint amennyit a szöveg ma használ: az üzemeltető kifejezett, írásbeli felelősségkizárása a harmadik fél alkalmazásaira nézve az 1.4 pont központi állítását közvetlen idézettel támasztja alá.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rFonts w:ascii="Calibri" w:cs="Calibri" w:eastAsia="Calibri" w:hAnsi="Calibri"/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E5496"/>
      <w:sz w:val="25"/>
      <w:szCs w:val="25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2E5496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qFormat/>
    <w:pPr>
      <w:spacing w:after="140" w:line="276"/>
    </w:pPr>
    <w:rPr>
      <w:rFonts w:ascii="Calibri" w:cs="Calibri" w:eastAsia="Calibri" w:hAnsi="Calibri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2026-09-26T07:35:42.657Z</dcterms:created>
  <dcterms:modified xsi:type="dcterms:W3CDTF">2026-09-26T07:35:42.657Z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