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0"/>
      </w:pPr>
      <w:r>
        <w:t xml:space="preserve">A két oktatási előterjesztés viszonya</w:t>
      </w:r>
    </w:p>
    <w:p>
      <w:pPr>
        <w:pStyle w:val="Heading1"/>
        <w:spacing w:after="160" w:before="320"/>
      </w:pPr>
      <w:r>
        <w:t xml:space="preserve">„AI-Ország: szabad tananyag" és „AI-Ország: saját oktatási adat, saját eszközzel"</w:t>
      </w:r>
    </w:p>
    <w:p>
      <w:pPr>
        <w:spacing w:after="140"/>
        <w:jc w:val="both"/>
      </w:pPr>
      <w:r>
        <w:rPr>
          <w:i/>
          <w:iCs/>
        </w:rPr>
        <w:t xml:space="preserve">Munkaanyag a munkacsoport számára. Célja, hogy a két anyag összehasonlítható, és szükség esetén összevonható legyen.</w:t>
      </w:r>
    </w:p>
    <w:p>
      <w:pPr>
        <w:pBdr>
          <w:bottom w:val="single" w:color="B0B8C4" w:sz="6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t xml:space="preserve">1. A két anyag nem versenyzik, hanem kiegészíti egymást</w:t>
      </w:r>
    </w:p>
    <w:p>
      <w:pPr>
        <w:spacing w:after="140"/>
        <w:jc w:val="both"/>
      </w:pPr>
      <w:r>
        <w:t xml:space="preserve">Ugyanannak az oktatási pilotnak a két fele. Tárgyi átfedés nincs, szándékbeli átfedés teljes.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008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Szabad tananyag</w:t>
            </w:r>
          </w:p>
        </w:tc>
        <w:tc>
          <w:tcPr>
            <w:tcW w:type="dxa" w:w="301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Saját oktatási adat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Mire vonatkozik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tananyag, tankönyv, feladatbank, NAT, kerettanterv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tanulói és szülői személyes adat a KRÉTA-ban és a Neptunban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Az adat jellege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nem személyes adat</w:t>
            </w:r>
            <w:r>
              <w:rPr>
                <w:sz w:val="18"/>
                <w:szCs w:val="18"/>
              </w:rPr>
              <w:t xml:space="preserve">, közpénzből előállított mű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kizárólag személyes adat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kérdés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ki használhatja fel, és milyen licenc alatt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ki férhet hozzá, milyen eszközzel, és mi történik vele azután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megoldás eszköze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nyílt licenc (CC BY 4.0) és gépi olvasható közzététel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felhatalmazáson alapuló delegált hozzáférés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Érintett jogszabály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2012. évi LXIII., 2013. évi CCXXXII., 110/2012. Korm. r.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2011. évi CXC. (Nkt.), 2011. évi CCIV. (Nftv.)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Kockázati profil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szerzői jogi és jogdíjpolitikai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adatvédelmi és biztonsági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  <w:jc w:val="both"/>
      </w:pPr>
      <w:r>
        <w:rPr>
          <w:b/>
          <w:bCs/>
        </w:rPr>
        <w:t xml:space="preserve">Egyik sem old meg semmit a másik nélkül.</w:t>
      </w:r>
      <w:r>
        <w:t xml:space="preserve"> Nyílt tananyag nélkül egy magyar oktatási MI-nek nincs mire tanulnia. Delegált hozzáférés nélkül nincs miből dolgoznia a konkrét gyerekre. A két anyag együtt írja le, mi kell ahhoz, hogy egy magyar fejlesztésű oktatási asszisztens létezhessen.</w:t>
      </w:r>
    </w:p>
    <w:p>
      <w:pPr>
        <w:spacing w:after="140"/>
        <w:jc w:val="both"/>
      </w:pPr>
      <w:r>
        <w:t xml:space="preserve">Ez az egymondatos megfogalmazás, amely mindkét anyag elejére illik:</w:t>
      </w:r>
    </w:p>
    <w:p>
      <w:pPr>
        <w:pBdr>
          <w:left w:val="single" w:color="6B7A8F" w:sz="12" w:space="12"/>
        </w:pBdr>
        <w:spacing w:after="60" w:before="60"/>
        <w:ind w:left="360"/>
      </w:pPr>
      <w:r>
        <w:t xml:space="preserve">A tananyag azt adja meg, </w:t>
      </w:r>
      <w:r>
        <w:rPr>
          <w:b/>
          <w:bCs/>
        </w:rPr>
        <w:t xml:space="preserve">mit tud</w:t>
      </w:r>
      <w:r>
        <w:t xml:space="preserve"> egy oktatási MI. A saját oktatási adat azt, hogy </w:t>
      </w:r>
      <w:r>
        <w:rPr>
          <w:b/>
          <w:bCs/>
        </w:rPr>
        <w:t xml:space="preserve">kiről és mire</w:t>
      </w:r>
      <w:r>
        <w:t xml:space="preserve"> használhatja.</w:t>
      </w:r>
    </w:p>
    <w:p>
      <w:pPr>
        <w:pStyle w:val="Heading1"/>
        <w:spacing w:after="160" w:before="320"/>
      </w:pPr>
      <w:r>
        <w:t xml:space="preserve">2. A közös váz — a két anyag ugyanabból a sablonból indult</w:t>
      </w:r>
    </w:p>
    <w:p>
      <w:pPr>
        <w:spacing w:after="140"/>
        <w:jc w:val="both"/>
      </w:pPr>
      <w:r>
        <w:t xml:space="preserve">A „szabad tananyag" fejezetei és a mi fejezeteink megfeleltethetők. A sablon megvan mindkettőben, nálunk kiegészítésekkel.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Sablon</w:t>
            </w:r>
          </w:p>
        </w:tc>
        <w:tc>
          <w:tcPr>
            <w:tcW w:type="dxa" w:w="3008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Szabad tananyag</w:t>
            </w:r>
          </w:p>
        </w:tc>
        <w:tc>
          <w:tcPr>
            <w:tcW w:type="dxa" w:w="3010"/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Saját oktatási adat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absztrakt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dőlt bevezető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„Egy bekezdésben" + Vezetői összefoglaló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Probléma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Probléma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4. Mi a probléma?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Előzmények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Előzmények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5. Hogyan jutottunk ide?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Okozott kár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Okozott kár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6. Milyen kárt okoz a jelenlegi helyzet?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Megoldási célok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Megoldási célok (Cél 1–12)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10. Mit szeretnénk elérni? (Cél 1–4)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Várható haszon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Várható haszon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11. Mi lenne a várható haszon?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Pontos szakpolitikai változás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I., II., IV., VIII. pont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12. Pontosan milyen változtatást javaslunk?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Intézményi és pénzügyi feltételek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VIII. pont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részben a 13. ütemtervben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1–3., 7–9., 14–15. (kiegészítések)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  <w:jc w:val="both"/>
      </w:pPr>
      <w:r>
        <w:t xml:space="preserve">A mi többletfejezeteink: a keretezés (1–2.), a jogi helyzet tételes végigvezetése (3.), a bizalmi, felhasználási és felelősségi modell (7–9.), a nyitott kérdések (14.) és a források (15.).</w:t>
      </w:r>
    </w:p>
    <w:p>
      <w:pPr>
        <w:spacing w:after="140"/>
        <w:jc w:val="both"/>
      </w:pPr>
      <w:r>
        <w:rPr>
          <w:b/>
          <w:bCs/>
        </w:rPr>
        <w:t xml:space="preserve">Javaslat:</w:t>
      </w:r>
      <w:r>
        <w:t xml:space="preserve"> ne a mi fejezeteinket szabdaljuk vissza a sablonra, hanem a sablon legyen a közös gerinc, és mindkét anyag jelölje, hol tartja a sablon szerinti tartalmat. Ez a táblázat maga elvégzi ezt.</w:t>
      </w:r>
    </w:p>
    <w:p>
      <w:pPr>
        <w:pStyle w:val="Heading1"/>
        <w:spacing w:after="160" w:before="320"/>
      </w:pPr>
      <w:r>
        <w:t xml:space="preserve">3. Módszertani különbség — és ez érdemes kimondani</w:t>
      </w:r>
    </w:p>
    <w:p>
      <w:pPr>
        <w:spacing w:after="140"/>
        <w:jc w:val="both"/>
      </w:pPr>
      <w:r>
        <w:rPr>
          <w:b/>
          <w:bCs/>
        </w:rPr>
        <w:t xml:space="preserve">A „szabad tananyag" jogforrásból indul.</w:t>
      </w:r>
      <w:r>
        <w:t xml:space="preserve"> Végigveszi a hazai és uniós adatjogi fejlődést, és abból vezeti le, hol hiányzik a kötelező erejű szabály. Ez a klasszikus jogalkotás-előkészítő módszer, és erős: a hivatkozási háló sűrű és pontos.</w:t>
      </w:r>
    </w:p>
    <w:p>
      <w:pPr>
        <w:spacing w:after="140"/>
        <w:jc w:val="both"/>
      </w:pPr>
      <w:r>
        <w:rPr>
          <w:b/>
          <w:bCs/>
        </w:rPr>
        <w:t xml:space="preserve">A „saját oktatási adat" egy működő implementációból indul.</w:t>
      </w:r>
      <w:r>
        <w:t xml:space="preserve"> Az Üzenőfüzet nyílt forráskódú szolgáltatás ma ténylegesen összeköti a szülők MI-asszisztensét a KRÉTA-val, és a javaslat réseit ebből a működésből vezettük le: minden megkerülő megoldás, amelyre a szolgáltatás rákényszerül, egy-egy hiányzó szabályt nevez meg. A funkciókatalógus vázlata is így készült, a szolgáltatás valódi végpontlistájából.</w:t>
      </w:r>
    </w:p>
    <w:p>
      <w:pPr>
        <w:spacing w:after="140"/>
        <w:jc w:val="both"/>
      </w:pPr>
      <w:r>
        <w:t xml:space="preserve">Ennek két haszna van a munkacsoport számára: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 hiánylista nem elméleti.</w:t>
      </w:r>
      <w:r>
        <w:t xml:space="preserve"> Nem azt soroljuk fel, mi hiányozhat, hanem azt, ami egy működő integrációt ma megkerülő megoldásokra kényszerít.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 besorolás tesztelhető.</w:t>
      </w:r>
      <w:r>
        <w:t xml:space="preserve"> A funkciókatalógus vázlata húsz valós végponton próbálja ki a javasolt szabályt, és a próba talált is hibát — nem a normaszövegben, hanem a besorolásunkban.</w:t>
      </w:r>
    </w:p>
    <w:p>
      <w:pPr>
        <w:spacing w:after="140"/>
        <w:jc w:val="both"/>
      </w:pPr>
      <w:r>
        <w:t xml:space="preserve">A két módszer nem alternatíva. A jogforrás megmondja, mit szabad; az implementáció megmondja, mi törik el. Érdemes mindkét anyagban egy mondattal jelezni, melyikből indult.</w:t>
      </w:r>
    </w:p>
    <w:p>
      <w:pPr>
        <w:pStyle w:val="Heading1"/>
        <w:spacing w:after="160" w:before="320"/>
      </w:pPr>
      <w:r>
        <w:t xml:space="preserve">4. Szintkülönbségek — mindkét irányban</w:t>
      </w:r>
    </w:p>
    <w:p>
      <w:pPr>
        <w:pStyle w:val="Heading2"/>
        <w:spacing w:after="160" w:before="320"/>
      </w:pPr>
      <w:r>
        <w:t xml:space="preserve">Amiben a „szabad tananyag" erősebb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Nemzetközi példák sűrűsége.</w:t>
      </w:r>
      <w:r>
        <w:t xml:space="preserve"> Franciaország, Egyesült Államok, UNESCO OER-ajánlás, Lengyelország (ZPE), Norvégia (NDLA). A mi anyagunkban négy példa van, náluk hat, és mindegyik pontosan a tárgyhoz illik.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Az „AI-ready" adatszegmens kidolgozottsága.</w:t>
      </w:r>
      <w:r>
        <w:t xml:space="preserve"> Az adateredet, a feldolgozási lánc, a minőségi jelentés és a gépi olvasható jogi feltételek együttes előírása komoly, és nálunk nincs megfelelője.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 szerzői jogi levezetés pontos.</w:t>
      </w:r>
      <w:r>
        <w:t xml:space="preserve"> Hogy a NAT a 110/2012. Korm. rendelet melléklete, ezért az Szjt. alapján eleve nem áll szerzői jogi védelem alatt, tehát ott nem licencre hanem gépi olvasható közzétételre van szükség — ez éles, helyes megkülönböztetés.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 CC0 helyett CC BY indoklása.</w:t>
      </w:r>
      <w:r>
        <w:t xml:space="preserve"> A személyhez fűződő jogokról nem lehet érvényesen lemondani, ezért a CC0 nem biztonságos alapértelmezés. Ez pontos.</w:t>
      </w:r>
    </w:p>
    <w:p>
      <w:pPr>
        <w:pStyle w:val="Heading2"/>
        <w:spacing w:after="160" w:before="320"/>
      </w:pPr>
      <w:r>
        <w:t xml:space="preserve">Amiben a mi anyagunk jelenleg előrébb tart</w:t>
      </w:r>
    </w:p>
    <w:p>
      <w:pPr>
        <w:spacing w:after="140"/>
        <w:jc w:val="both"/>
      </w:pPr>
      <w:r>
        <w:t xml:space="preserve">Ez nem érdem, hanem annak a következménye, hogy a mi szövegünk már átment egy tizenkét pontos ellenséges szakmai bíráláson és három javítási körön. A bírálat pontjai nagyrészt a „szabad tananyag"-ra is illenek, tehát ez a lista inkább </w:t>
      </w:r>
      <w:r>
        <w:rPr>
          <w:b/>
          <w:bCs/>
        </w:rPr>
        <w:t xml:space="preserve">előrejelzés arról, mit fognak számon kérni</w:t>
      </w:r>
      <w:r>
        <w:t xml:space="preserve">, mint kritika.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 célok listája.</w:t>
      </w:r>
      <w:r>
        <w:t xml:space="preserve"> Náluk tizenkét cél, mérhető célérték és határidő nélkül, és a Cél7 valójában nem cél, hanem probléma („A tantervi elemek közötti kapcsolatok láthatatlansága"). Nálunk négy cél, mindegyikhez dátumozott, mérhető célérték. Ezt a bírálat nálunk is kérte.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Számszerű ígéret bizonyíték nélkül.</w:t>
      </w:r>
      <w:r>
        <w:t xml:space="preserve"> Az absztrakt „évi több tíz milliárd forintos hazai értékteremtést" ígér, a szöveg viszont sehol nem vezeti le. Nálunk pontosan ezt támadta a bírálat tizedik pontja, és a javítás kétirányú volt: a számokat forrással pótolni </w:t>
      </w:r>
      <w:r>
        <w:rPr>
          <w:b/>
          <w:bCs/>
        </w:rPr>
        <w:t xml:space="preserve">és</w:t>
      </w:r>
      <w:r>
        <w:t xml:space="preserve"> kisebbre venni, amit ígérünk. A mi anyagunk ma nem forintosít, hanem órában és példaszámításként fogalmaz, kötelező pilot-méréssel.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Tény és feltételezés keveredése.</w:t>
      </w:r>
      <w:r>
        <w:t xml:space="preserve"> „A magyar tanuló idegen tantervi logikára fog tanulni" plauzibilis, de nincs alátámasztva. Nálunk a kár-fejezet minden alfejezete a címében jelzi, hogy dokumentált tény, példaszámítás vagy feltételezés.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Számozási és szerkezeti sérülés.</w:t>
      </w:r>
      <w:r>
        <w:t xml:space="preserve"> A normaszöveg I., II., majd IV., majd VIII. pontra ugrik, a bekezdések számozása pedig helyenként összeolvadt („2510.", „402516."). A III., V., VI., VII. pont hiányzik. Ez láthatóan a szülődokumentumból való átemelés nyoma, és javítandó, mielőtt a munkacsoport elé kerül.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Hatókör-csúszás.</w:t>
      </w:r>
      <w:r>
        <w:t xml:space="preserve"> A cím és a bevezető az oktatási pilotra szűkít, a 9–23. és 43–50. pont viszont az általános Közszolgáltatási Adat- és API-keretrendszerről szól: föderáció, technológiasemlegesség, beszállítófüggőség, digitális szuverenitás, kilépési terv. Ez a terjedelem nagyjából fele, és nem tananyagról szól. Vagy a cím tágítandó, vagy ez a blokk visszakerül a szülődokumentumba, és innen hivatkozás marad rá.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Hiányzó szakaszok.</w:t>
      </w:r>
      <w:r>
        <w:t xml:space="preserve"> Nincs „mit nem állítunk", nincs nyitott kérdések fejezet, nincs forrásjegyzék, és nincs érdekütközési nyilatkozat. Mind a négy olyan elem, amelyet a bírálat nálunk hiányolt, és amely a tárgyalási pozíciót erősíti: amit az előterjesztő maga nevez meg gyengeségként, azt a bíráló már nem tudja leleplezésként felmutatni.</w:t>
      </w:r>
    </w:p>
    <w:p>
      <w:pPr>
        <w:pStyle w:val="Heading1"/>
        <w:spacing w:after="160" w:before="320"/>
      </w:pPr>
      <w:r>
        <w:t xml:space="preserve">5. Amit össze kell hangolni, mielőtt egy csomagban mennek</w:t>
      </w:r>
    </w:p>
    <w:p>
      <w:pPr>
        <w:spacing w:after="140"/>
        <w:jc w:val="both"/>
      </w:pPr>
      <w:r>
        <w:t xml:space="preserve">Öt ponton a két anyag ma eltérően kezel ugyanazt. Ezek közül kettő érdemi ellentmondás.</w:t>
      </w:r>
    </w:p>
    <w:p>
      <w:pPr>
        <w:spacing w:after="140"/>
        <w:jc w:val="both"/>
      </w:pPr>
      <w:r>
        <w:rPr>
          <w:b/>
          <w:bCs/>
        </w:rPr>
        <w:t xml:space="preserve">1. Az adatrendelet státusza — érdemi.</w:t>
      </w:r>
      <w:r>
        <w:t xml:space="preserve"> A „szabad tananyag" az (EU) 2023/2854 rendeletet a beérő uniós adatjog láncszemeként hozza. A mi anyagunk kifejezetten helyesbít: a rendelet II. fejezete összekapcsolt termékekre vonatkozik, a tanulmányi nyilvántartásra nem, ezért jogpolitikai irányjelző és </w:t>
      </w:r>
      <w:r>
        <w:rPr>
          <w:b/>
          <w:bCs/>
        </w:rPr>
        <w:t xml:space="preserve">nem jogalap</w:t>
      </w:r>
      <w:r>
        <w:t xml:space="preserve">. Ha a két anyag egy csomagban megy, egy bíráló ezt az eltérést azonnal megtalálja. Egységes álláspont kell.</w:t>
      </w:r>
    </w:p>
    <w:p>
      <w:pPr>
        <w:spacing w:after="140"/>
        <w:jc w:val="both"/>
      </w:pPr>
      <w:r>
        <w:rPr>
          <w:b/>
          <w:bCs/>
        </w:rPr>
        <w:t xml:space="preserve">2. Az EHDS szerepe — összehangolható.</w:t>
      </w:r>
      <w:r>
        <w:t xml:space="preserve"> Mindketten hivatkozzuk az (EU) 2025/327 rendeletet, de másra: ők a másodlagos felhasználási rendszerre és az adathozzáférési szerv kijelölésére, mi arra, hogy ágazati jogszabály hozhat létre elektronikus hozzáférési jogot közfeladaton alapuló nyilvántartásban. A kettő nem mond ellent, sőt erősíti egymást. Érdemes kölcsönösen hivatkozni.</w:t>
      </w:r>
    </w:p>
    <w:p>
      <w:pPr>
        <w:spacing w:after="140"/>
        <w:jc w:val="both"/>
      </w:pPr>
      <w:r>
        <w:rPr>
          <w:b/>
          <w:bCs/>
        </w:rPr>
        <w:t xml:space="preserve">3. Dátumok — kis eltérés.</w:t>
      </w:r>
      <w:r>
        <w:t xml:space="preserve"> A kormányrendelet kihirdetése náluk 2027. február 28., nálunk 2027. március 31. A törvénymódosítás mindkettőnél 2026. december 31. Egy hónap, de egy csomagban zavaró. Javaslat: közös dátum.</w:t>
      </w:r>
    </w:p>
    <w:p>
      <w:pPr>
        <w:spacing w:after="140"/>
        <w:jc w:val="both"/>
      </w:pPr>
      <w:r>
        <w:rPr>
          <w:b/>
          <w:bCs/>
        </w:rPr>
        <w:t xml:space="preserve">4. API-követelmények — átfedés.</w:t>
      </w:r>
      <w:r>
        <w:t xml:space="preserve"> A nyilvános, verziózott, dokumentált felület, a tesztkörnyezet és a szabványkövetés mindkét anyagban szerepel. Náluk általános keretként, nálunk a KRÉTA-ra szabva. Nem ellentmondás, de kétszer leírt szabály. Összevonásnál a mi 10.2 pontunk az ő 1. és 7. pontjuk különös esete.</w:t>
      </w:r>
    </w:p>
    <w:p>
      <w:pPr>
        <w:spacing w:after="140"/>
        <w:jc w:val="both"/>
      </w:pPr>
      <w:r>
        <w:rPr>
          <w:b/>
          <w:bCs/>
        </w:rPr>
        <w:t xml:space="preserve">5. Egy tényadat pontosítandó.</w:t>
      </w:r>
      <w:r>
        <w:t xml:space="preserve"> Az OPEN Government Data Act a 2018-as Foundations for Evidence-Based Policymaking Act II. címe, de az aláírás 2019. január 14-én történt. A „2018-ban" megfogalmazás a törvény nevére igaz, a hatálybalépésre nem. Apróság, de hivatkozásjegyzékben számít.</w:t>
      </w:r>
    </w:p>
    <w:p>
      <w:pPr>
        <w:pStyle w:val="Heading1"/>
        <w:spacing w:after="160" w:before="320"/>
      </w:pPr>
      <w:r>
        <w:t xml:space="preserve">6. Ha összevonjuk</w:t>
      </w:r>
    </w:p>
    <w:p>
      <w:pPr>
        <w:spacing w:after="140"/>
        <w:jc w:val="both"/>
      </w:pPr>
      <w:r>
        <w:t xml:space="preserve">Egy közös „AI-Ország: oktatási pilot" anyag váza, amely mindkét felet megtartja: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Közös felvezetés.</w:t>
      </w:r>
      <w:r>
        <w:t xml:space="preserve"> A széttöredezettség és a hiányzó tananyagvagyon ugyanannak az állapotnak a két tünete. Egy magyar oktatási MI ma sem azt nem tudja, mit tanítson, sem azt, kiről beszél.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Két külön probléma-, kár- és céltengely.</w:t>
      </w:r>
      <w:r>
        <w:t xml:space="preserve"> A tartalom és a személyes adat végig elválasztva, mert a jogi logikájuk különbözik. Ezt nem szabad összemosni, ahogy a mi anyagunkban sem mostuk össze az A), B) és C) esetet.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Közös előzmények.</w:t>
      </w:r>
      <w:r>
        <w:t xml:space="preserve"> Az uniós adatjogi fejlődés egyszer, mindkét ágra hivatkozva.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Két külön normaszöveg.</w:t>
      </w:r>
      <w:r>
        <w:t xml:space="preserve"> Más törvényeket módosítanak, tehát nincs ütközés; egyszerűen egymás után állnak.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Közös ütemterv.</w:t>
      </w:r>
      <w:r>
        <w:t xml:space="preserve"> Egy dátumsor, két sávval.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Közös intézményi és pénzügyi rész.</w:t>
      </w:r>
      <w:r>
        <w:t xml:space="preserve"> A koordinációs tanács, a költségvetési sor és a nyilvános hatásmérés mindkét ágra érvényes.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Közös nyitott kérdések, források és érdekütközés.</w:t>
      </w:r>
    </w:p>
    <w:p>
      <w:pPr>
        <w:spacing w:after="140"/>
        <w:jc w:val="both"/>
      </w:pPr>
      <w:r>
        <w:t xml:space="preserve">Ebben a szerkezetben a mi bizalmi, felhasználási és felelősségi modellünk a személyes adat sáv melléklete marad, az ő „AI-ready" adatszegmensük pedig a tartalom sávé. Egyik sem hígul.</w:t>
      </w:r>
    </w:p>
    <w:p>
      <w:pPr>
        <w:pStyle w:val="Heading1"/>
        <w:spacing w:after="160" w:before="320"/>
      </w:pPr>
      <w:r>
        <w:t xml:space="preserve">7. Teendők</w:t>
      </w:r>
    </w:p>
    <w:p>
      <w:pPr>
        <w:spacing w:after="140"/>
        <w:jc w:val="both"/>
      </w:pPr>
      <w:r>
        <w:rPr>
          <w:b/>
          <w:bCs/>
        </w:rPr>
        <w:t xml:space="preserve">A közös csomaghoz, mindkét anyagon: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egyeztetett álláspont az adatrendeletről;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kölcsönös EHDS-hivatkozás;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közös dátumsor;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egy mondat arról, melyik anyag melyik módszerből indult.</w:t>
      </w:r>
    </w:p>
    <w:p>
      <w:pPr>
        <w:spacing w:after="140"/>
        <w:jc w:val="both"/>
      </w:pPr>
      <w:r>
        <w:rPr>
          <w:b/>
          <w:bCs/>
        </w:rPr>
        <w:t xml:space="preserve">A „szabad tananyag" anyagon, ha a mi bírálati köreinket meg akarja előzni: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célok mérhetővé és dátumozottá tétele, a Cél7 átfogalmazása;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„több tíz milliárd" vagy levezetés forrásokkal, vagy kivétel az absztraktból;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tény, levezetés és feltételezés szétválasztása a kár-fejezetben;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számozás helyreállítása, a hiányzó III., V., VI., VII. pont pótlása vagy a számozás újrakezdése;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hatókör rendezése: a föderációs, technológiasemlegességi és szuverenitási blokk vagy a címbe, vagy vissza a szülődokumentumba;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„mit nem állítunk", nyitott kérdések, forrásjegyzék és érdekütközés hozzáadása.</w:t>
      </w:r>
    </w:p>
    <w:p>
      <w:pPr>
        <w:spacing w:after="140"/>
        <w:jc w:val="both"/>
      </w:pPr>
      <w:r>
        <w:rPr>
          <w:b/>
          <w:bCs/>
        </w:rPr>
        <w:t xml:space="preserve">A mi anyagunkon: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sablon-megfeleltetés táblázata bekerült ide, a dokumentumba magába nem kell;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egy mondat a testvéranyagról és a munkamegosztásról;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egy mondat a módszerről: működő implementációból vezettük le a réseket.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549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40" w:line="276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2026-09-25T08:13:45.663Z</dcterms:created>
  <dcterms:modified xsi:type="dcterms:W3CDTF">2026-09-25T08:13:45.675Z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