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t xml:space="preserve">Funkciókatalógus — első vázlat</w:t>
      </w:r>
    </w:p>
    <w:p>
      <w:pPr>
        <w:pStyle w:val="Heading1"/>
        <w:spacing w:after="160" w:before="320"/>
      </w:pPr>
      <w:r>
        <w:t xml:space="preserve">A szülői és tanulói olvasási funkciók adatkör-besorolása</w:t>
      </w:r>
    </w:p>
    <w:p>
      <w:pPr>
        <w:spacing w:after="140"/>
        <w:jc w:val="both"/>
      </w:pPr>
      <w:r>
        <w:rPr>
          <w:i/>
          <w:iCs/>
        </w:rPr>
        <w:t xml:space="preserve">Az előterjesztés 12./III. pontja szerint a kormányrendelet melléklete tételesen felsorolja a delegált hozzáféréssel elérhető funkciókat, és funkciónként megadja a szükséges bizalmi szintet, valamint az adatkör besorolását. A 14. fejezet 3. nyitott kérdése ezt a besorolást nevezi meg a javaslat legmunkaigényesebb részének. Ez a vázlat az első menetet végzi el rajta.</w:t>
      </w:r>
    </w:p>
    <w:p>
      <w:pPr>
        <w:pBdr>
          <w:bottom w:val="single" w:color="B0B8C4" w:sz="6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t xml:space="preserve">1. Mi ez, és mi nem</w:t>
      </w:r>
    </w:p>
    <w:p>
      <w:pPr>
        <w:spacing w:after="140"/>
        <w:jc w:val="both"/>
      </w:pPr>
      <w:r>
        <w:rPr>
          <w:b/>
          <w:bCs/>
        </w:rPr>
        <w:t xml:space="preserve">Mi ez.</w:t>
      </w:r>
      <w:r>
        <w:t xml:space="preserve"> Az Üzenőfüzet nyílt forráskódú szolgáltatás ma 17 KRÉTA-végpontot olvas a szülő nevében. Ez a lista nem elméleti: működő integrációból származik, tehát pontosan azt a funkciókört fedi le, amelyet egy delegált hozzáférés első szakasza érintene. A vázlat minden végponthoz hozzárendel egy adatkör-besorolást és egy bizalmi szintet.</w:t>
      </w:r>
    </w:p>
    <w:p>
      <w:pPr>
        <w:spacing w:after="140"/>
        <w:jc w:val="both"/>
      </w:pPr>
      <w:r>
        <w:rPr>
          <w:b/>
          <w:bCs/>
        </w:rPr>
        <w:t xml:space="preserve">Mi nem.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Nem teljes.</w:t>
      </w:r>
      <w:r>
        <w:t xml:space="preserve"> Kizárólag az előterjesztés </w:t>
      </w:r>
      <w:r>
        <w:rPr>
          <w:b/>
          <w:bCs/>
        </w:rPr>
        <w:t xml:space="preserve">A) esetét</w:t>
      </w:r>
      <w:r>
        <w:t xml:space="preserve"> fedi le: az érintett saját adatának olvasását. A B) eset (műveletvégzés) és a C) eset (pedagógusi jogosultság) funkcióit ez a forrás nem tartalmazza, mert az Üzenőfüzet szülői oldalú és csak olvas. Azokhoz az üzemeltető saját funkciólistája kell.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Nem a Neptunra vonatkozik.</w:t>
      </w:r>
      <w:r>
        <w:t xml:space="preserve"> A felsőoktatási tanulmányi rendszerek külön katalógust igényelnek.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Nem végleges, mert mezőszintű sémát nem láttunk.</w:t>
      </w:r>
      <w:r>
        <w:t xml:space="preserve"> A besorolás a végpontok szemantikáján alapul, nem a tényleges válaszmezőkön. </w:t>
      </w:r>
      <w:r>
        <w:rPr>
          <w:b/>
          <w:bCs/>
        </w:rPr>
        <w:t xml:space="preserve">Minden sor validálandó a valódi válaszszerkezet ismeretében.</w:t>
      </w:r>
      <w:r>
        <w:t xml:space="preserve"> Ez önmagában is érv a javaslat mellett: a katalógus nem készíthető el addig, amíg az üzemeltető nem teszi közzé a felület leírását.</w:t>
      </w:r>
    </w:p>
    <w:p>
      <w:pPr>
        <w:pStyle w:val="Heading1"/>
        <w:spacing w:after="160" w:before="320"/>
      </w:pPr>
      <w:r>
        <w:t xml:space="preserve">2. A három adatkör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Jel</w:t>
            </w:r>
          </w:p>
        </w:tc>
        <w:tc>
          <w:tcPr>
            <w:tcW w:type="dxa" w:w="300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Adatkör</w:t>
            </w:r>
          </w:p>
        </w:tc>
        <w:tc>
          <w:tcPr>
            <w:tcW w:type="dxa" w:w="301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Alapszabály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alapadatkör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delegálható és külső szolgáltatóhoz továbbítható, ha a tájékoztatás megtörtént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korlátozott továbbítású adatkör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delegált csatornán külső szolgáltatóhoz nem továbbítható; a hivatalos felületen továbbra is látható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más személyt is érintő adat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csak szűkítve, a harmadik személyre vonatkozó rész elhagyásával, vagy nem delegálható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t xml:space="preserve">3. A katalógus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504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Funkció</w:t>
            </w:r>
          </w:p>
        </w:tc>
        <w:tc>
          <w:tcPr>
            <w:tcW w:type="dxa" w:w="1504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KRÉTA-végpont</w:t>
            </w:r>
          </w:p>
        </w:tc>
        <w:tc>
          <w:tcPr>
            <w:tcW w:type="dxa" w:w="1504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Adatkör</w:t>
            </w:r>
          </w:p>
        </w:tc>
        <w:tc>
          <w:tcPr>
            <w:tcW w:type="dxa" w:w="1504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Szint</w:t>
            </w:r>
          </w:p>
        </w:tc>
        <w:tc>
          <w:tcPr>
            <w:tcW w:type="dxa" w:w="150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Megjegyzés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Kapcsolat ellenőrzése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sajat/TanuloAdatlap</w:t>
            </w:r>
            <w:r>
              <w:rPr>
                <w:sz w:val="18"/>
                <w:szCs w:val="18"/>
              </w:rPr>
              <w:t xml:space="preserve"> (metaadat)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csak a kapcsolat élő voltát igazolja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Tanulói adatlap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sajat/TanuloAdatlap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A, </w:t>
            </w:r>
            <w:r>
              <w:rPr>
                <w:b/>
                <w:bCs/>
                <w:sz w:val="18"/>
                <w:szCs w:val="18"/>
              </w:rPr>
              <w:t xml:space="preserve">a más gondviselőre vonatkozó rész elhagyásával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lásd 4.1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Gondviselői adatlap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sajat/GondviseloAdatlap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felhatalmazó szülő saját adata; tanulói munkamenetből M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Osztályok és csoportok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sajat/OsztalyCsoportok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pedagógusnevek szakmai minőségben szerepelnek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Értékelések, jegyek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sajat/Ertekelesek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szöveges értékelés szabad szöveg; lásd 4.5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Mulasztások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sajat/Mulasztasok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A, </w:t>
            </w:r>
            <w:r>
              <w:rPr>
                <w:b/>
                <w:bCs/>
                <w:sz w:val="18"/>
                <w:szCs w:val="18"/>
              </w:rPr>
              <w:t xml:space="preserve">az igazolás indoka 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 igazolástípus egészségügyi következtetést enged — lásd 4.2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Feljegyzések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sajat/Feljegyzesek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alapértelmezésben nem továbbítható — lásd 4.3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Faliújság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sajat/FaliujsagElemek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intézményi közlés; más tanulót nevesíthet, de nyilvános körben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Tanév rendje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sajat/Intezmenyek/TanevRendjeElemek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intézményi adat, jellemzően nem személyes adat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Lázár Ervin Program előadásai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Lep/Eloadasok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részvétel ténye programhoz kötött, alacsony érzékenységű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Órarend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sajat/OrarendElemek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pedagógusnév, terem, tantárgy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Órarendi elem részletei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sajat/OrarendElem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mint a 11.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Házi feladatok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sajat/HaziFeladatok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Házi feladat részletei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sajat/HaziFeladatok/{uid}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Bejelentett számonkérések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sajat/BejelentettSzamonkeresek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Fogadóórák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sajat/Fogadoorak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A, </w:t>
            </w:r>
            <w:r>
              <w:rPr>
                <w:b/>
                <w:bCs/>
                <w:sz w:val="18"/>
                <w:szCs w:val="18"/>
              </w:rPr>
              <w:t xml:space="preserve">más szülő foglalásának elhagyásával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lásd 4.7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Fogadóóra részletei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sajat/Fogadoorak/{uid}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A, </w:t>
            </w:r>
            <w:r>
              <w:rPr>
                <w:b/>
                <w:bCs/>
                <w:sz w:val="18"/>
                <w:szCs w:val="18"/>
              </w:rPr>
              <w:t xml:space="preserve">más szülő foglalásának elhagyásával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mint a 16.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Heti intézményi beosztás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sajat/Intezmenyek/Hetirendek/Orarendi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intézményi adat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Osztályátlagok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sajat/Ertekelesek/Atlagok/OsztalyAtlagok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nem delegálható</w:t>
            </w:r>
            <w:r>
              <w:rPr>
                <w:sz w:val="18"/>
                <w:szCs w:val="18"/>
              </w:rPr>
              <w:t xml:space="preserve">: nem a tanuló adata — lásd 4.4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Tárgyi eszköz státusza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TargyiEszkoz/IsEszkozKiosztva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IsRegisztralt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szociális támogatásra enged következtetni — lásd 4.6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t xml:space="preserve">Húsz funkcióból </w:t>
      </w:r>
      <w:r>
        <w:rPr>
          <w:b/>
          <w:bCs/>
        </w:rPr>
        <w:t xml:space="preserve">tizenhárom tiszta alapadatkör</w:t>
      </w:r>
      <w:r>
        <w:t xml:space="preserve">, kettő korlátozott továbbítású, három részleges elhagyást igényel, egy pedig egyáltalán nem delegálható. A bizalmi szint a delegálható funkcióknál mindenhol 1, mert kizárólag olvasásról van szó.</w:t>
      </w:r>
    </w:p>
    <w:p>
      <w:pPr>
        <w:spacing w:after="140"/>
        <w:jc w:val="both"/>
      </w:pPr>
      <w:r>
        <w:rPr>
          <w:b/>
          <w:bCs/>
        </w:rPr>
        <w:t xml:space="preserve">A vezérelv, amely a besorolásból kirajzolódott:</w:t>
      </w:r>
      <w:r>
        <w:t xml:space="preserve"> ahol a válasz más természetes személy adatát is tartalmazza, az alapértelmezés a </w:t>
      </w:r>
      <w:r>
        <w:rPr>
          <w:b/>
          <w:bCs/>
        </w:rPr>
        <w:t xml:space="preserve">rész elhagyása</w:t>
      </w:r>
      <w:r>
        <w:t xml:space="preserve">, nem a funkció tiltása; ahol viszont a funkció teljes értéke más személyek adatából áll, ott a funkció </w:t>
      </w:r>
      <w:r>
        <w:rPr>
          <w:b/>
          <w:bCs/>
        </w:rPr>
        <w:t xml:space="preserve">nem delegálható</w:t>
      </w:r>
      <w:r>
        <w:t xml:space="preserve">. Ez nem új szabály, hanem az előterjesztés A) § (4) bekezdésének alkalmazása: más személy adatára a felhatalmazás csak akkor terjed ki, ha a katalógus kifejezetten feljogosít.</w:t>
      </w:r>
    </w:p>
    <w:p>
      <w:pPr>
        <w:pStyle w:val="Heading1"/>
        <w:spacing w:after="160" w:before="320"/>
      </w:pPr>
      <w:r>
        <w:t xml:space="preserve">4. A nehéz esetek</w:t>
      </w:r>
    </w:p>
    <w:p>
      <w:pPr>
        <w:spacing w:after="140"/>
        <w:jc w:val="both"/>
      </w:pPr>
      <w:r>
        <w:t xml:space="preserve">Ez a fejezet a katalógus lényege. A tiszta eseteknél a besorolás mechanikus; itt dől el, hogy a szabály működik-e.</w:t>
      </w:r>
    </w:p>
    <w:p>
      <w:pPr>
        <w:pStyle w:val="Heading2"/>
        <w:spacing w:after="160" w:before="320"/>
      </w:pPr>
      <w:r>
        <w:t xml:space="preserve">4.1 A tanulói adatlap gondviselői blokkot tartalmaz</w:t>
      </w:r>
    </w:p>
    <w:p>
      <w:pPr>
        <w:spacing w:after="140"/>
        <w:jc w:val="both"/>
      </w:pPr>
      <w:r>
        <w:t xml:space="preserve">A tanuló adatlapja jellemzően nem csak a tanuló adataiból áll: tartalmazza a gondviselők nevét és elérhetőségét. Egy szülő számára ez részben </w:t>
      </w:r>
      <w:r>
        <w:rPr>
          <w:b/>
          <w:bCs/>
        </w:rPr>
        <w:t xml:space="preserve">a másik szülő adata</w:t>
      </w:r>
      <w:r>
        <w:t xml:space="preserve">.</w:t>
      </w:r>
    </w:p>
    <w:p>
      <w:pPr>
        <w:spacing w:after="140"/>
        <w:jc w:val="both"/>
      </w:pPr>
      <w:r>
        <w:rPr>
          <w:i/>
          <w:iCs/>
        </w:rPr>
        <w:t xml:space="preserve">Javasolt megoldás:</w:t>
      </w:r>
      <w:r>
        <w:t xml:space="preserve"> a funkció delegálható, de a válaszból a felhatalmazást adó gondviselőn kívüli gondviselők elérhetőségi adatait el kell hagyni. Ez a 4.4-ben megfogalmazott vezérelv első fele: a rész elhagyása, nem a funkció tiltása. Ehhez az üzemeltetőnek mezőszintű szűrést kell tudnia a válaszban — ez műszaki követelmény, nem jogi.</w:t>
      </w:r>
    </w:p>
    <w:p>
      <w:pPr>
        <w:pStyle w:val="Heading2"/>
        <w:spacing w:after="160" w:before="320"/>
      </w:pPr>
      <w:r>
        <w:t xml:space="preserve">4.2 A mulasztás igazolási indoka egészségügyi adat lehet</w:t>
      </w:r>
    </w:p>
    <w:p>
      <w:pPr>
        <w:spacing w:after="140"/>
        <w:jc w:val="both"/>
      </w:pPr>
      <w:r>
        <w:t xml:space="preserve">A mulasztás ténye a tanuló saját adata. Az igazolás típusa viszont — „orvosi igazolás”, „szülői igazolás”, „hatósági” — </w:t>
      </w:r>
      <w:r>
        <w:rPr>
          <w:b/>
          <w:bCs/>
        </w:rPr>
        <w:t xml:space="preserve">egészségügyi következtetést enged</w:t>
      </w:r>
      <w:r>
        <w:t xml:space="preserve">: ha egy tanuló mulasztásainak nagy része orvosi igazolású, az az egészségi állapotára utaló információ.</w:t>
      </w:r>
    </w:p>
    <w:p>
      <w:pPr>
        <w:spacing w:after="140"/>
        <w:jc w:val="both"/>
      </w:pPr>
      <w:r>
        <w:rPr>
          <w:i/>
          <w:iCs/>
        </w:rPr>
        <w:t xml:space="preserve">Javasolt megoldás:</w:t>
      </w:r>
      <w:r>
        <w:t xml:space="preserve"> a mulasztás dátuma, tantárgya, típusa (igazolt vagy igazolatlan) alapadatkör; </w:t>
      </w:r>
      <w:r>
        <w:rPr>
          <w:b/>
          <w:bCs/>
        </w:rPr>
        <w:t xml:space="preserve">az igazolás konkrét indoka és kiállítója korlátozott továbbítású</w:t>
      </w:r>
      <w:r>
        <w:t xml:space="preserve">. A hivatalos felületen a szülő továbbra is látja.</w:t>
      </w:r>
    </w:p>
    <w:p>
      <w:pPr>
        <w:spacing w:after="140"/>
        <w:jc w:val="both"/>
      </w:pPr>
      <w:r>
        <w:t xml:space="preserve">Ez a sor jól mutatja, miért nem elég végpontszintű besorolás: </w:t>
      </w:r>
      <w:r>
        <w:rPr>
          <w:b/>
          <w:bCs/>
        </w:rPr>
        <w:t xml:space="preserve">egyetlen válaszon belül két adatkör van</w:t>
      </w:r>
      <w:r>
        <w:t xml:space="preserve">.</w:t>
      </w:r>
    </w:p>
    <w:p>
      <w:pPr>
        <w:pStyle w:val="Heading2"/>
        <w:spacing w:after="160" w:before="320"/>
      </w:pPr>
      <w:r>
        <w:t xml:space="preserve">4.3 A feljegyzések a legvegyesebb végpont</w:t>
      </w:r>
    </w:p>
    <w:p>
      <w:pPr>
        <w:spacing w:after="140"/>
        <w:jc w:val="both"/>
      </w:pPr>
      <w:r>
        <w:t xml:space="preserve">A </w:t>
      </w:r>
      <w:r>
        <w:rPr>
          <w:rFonts w:ascii="Consolas" w:cs="Consolas" w:eastAsia="Consolas" w:hAnsi="Consolas"/>
        </w:rPr>
        <w:t xml:space="preserve">Feljegyzesek</w:t>
      </w:r>
      <w:r>
        <w:t xml:space="preserve"> egyaránt tartalmazhat dicséretet, szaktanári figyelmeztetést, magatartási bejegyzést, fegyelmi ügy előzményét, és adott esetben gyermekvédelmi jelzéshez kapcsolódó kontextust. Végpontszinten ezek nem különböztethetők meg.</w:t>
      </w:r>
    </w:p>
    <w:p>
      <w:pPr>
        <w:spacing w:after="140"/>
        <w:jc w:val="both"/>
      </w:pPr>
      <w:r>
        <w:rPr>
          <w:i/>
          <w:iCs/>
        </w:rPr>
        <w:t xml:space="preserve">Javasolt megoldás:</w:t>
      </w:r>
      <w:r>
        <w:t xml:space="preserve"> </w:t>
      </w:r>
      <w:r>
        <w:rPr>
          <w:b/>
          <w:bCs/>
        </w:rPr>
        <w:t xml:space="preserve">alapértelmezésben korlátozott továbbítású</w:t>
      </w:r>
      <w:r>
        <w:t xml:space="preserve">, mert a legérzékenyebb lehetséges tartalomhoz kell igazodni. Ez feloldható, ha az üzemeltető típuskódot ad a feljegyzésekhez: akkor a dicséret és a semleges tanári közlés alapadatkörbe kerülhet, a fegyelmi és gyermekvédelmi vonatkozású pedig korlátozott marad.</w:t>
      </w:r>
    </w:p>
    <w:p>
      <w:pPr>
        <w:spacing w:after="140"/>
        <w:jc w:val="both"/>
      </w:pPr>
      <w:r>
        <w:rPr>
          <w:b/>
          <w:bCs/>
        </w:rPr>
        <w:t xml:space="preserve">Ez konkrét kérés az üzemeltető felé</w:t>
      </w:r>
      <w:r>
        <w:t xml:space="preserve">, és a katalógus egyik legfontosabb hozadéka: kiderül, hogy a szabályozás finomsága a mögöttes adatszerkezeten múlik.</w:t>
      </w:r>
    </w:p>
    <w:p>
      <w:pPr>
        <w:pStyle w:val="Heading2"/>
        <w:spacing w:after="160" w:before="320"/>
      </w:pPr>
      <w:r>
        <w:t xml:space="preserve">4.4 Az osztályátlag nem a tanuló adata</w:t>
      </w:r>
    </w:p>
    <w:p>
      <w:pPr>
        <w:spacing w:after="140"/>
        <w:jc w:val="both"/>
      </w:pPr>
      <w:r>
        <w:t xml:space="preserve">Ez a sor a katalógus legtanulságosabb esete, mert egy fogalmi csúszást leplez le.</w:t>
      </w:r>
    </w:p>
    <w:p>
      <w:pPr>
        <w:spacing w:after="140"/>
        <w:jc w:val="both"/>
      </w:pPr>
      <w:r>
        <w:t xml:space="preserve">Az A) eset köznyelvi neve „a saját adat olvasása”, a normaszöveg viszont nem ezt mondja: a felhatalmazás a felhasználó </w:t>
      </w:r>
      <w:r>
        <w:rPr>
          <w:b/>
          <w:bCs/>
        </w:rPr>
        <w:t xml:space="preserve">meglévő jogosultságának</w:t>
      </w:r>
      <w:r>
        <w:t xml:space="preserve"> körére terjed ki. A legtöbb végpontnál a kettő egybeesik. Az osztályátlagnál szétválik: a szülő látja a KRÉTA-ban, tehát a jogosultsága kiterjed rá — </w:t>
      </w:r>
      <w:r>
        <w:rPr>
          <w:b/>
          <w:bCs/>
        </w:rPr>
        <w:t xml:space="preserve">de az átlag nem a gyereke adata</w:t>
      </w:r>
      <w:r>
        <w:t xml:space="preserve">, hanem az osztályé, más tanulók értékeléseiből képezve.</w:t>
      </w:r>
    </w:p>
    <w:p>
      <w:pPr>
        <w:spacing w:after="140"/>
        <w:jc w:val="both"/>
      </w:pPr>
      <w:r>
        <w:rPr>
          <w:i/>
          <w:iCs/>
        </w:rPr>
        <w:t xml:space="preserve">Javasolt megoldás:</w:t>
      </w:r>
      <w:r>
        <w:t xml:space="preserve"> </w:t>
      </w:r>
      <w:r>
        <w:rPr>
          <w:b/>
          <w:bCs/>
        </w:rPr>
        <w:t xml:space="preserve">a funkció nem delegálható.</w:t>
      </w:r>
      <w:r>
        <w:t xml:space="preserve"> Nem küszöbérték kell hozzá, hanem az, hogy ne kerüljön be a delegálható körbe. Ez nem új szabály: az előterjesztés A) § (4) bekezdése szerint más természetes személy adatára a felhatalmazás csak akkor terjed ki, ha a katalógus kifejezetten feljogosít — és az átlagra ilyen indítvány nincs.</w:t>
      </w:r>
    </w:p>
    <w:p>
      <w:pPr>
        <w:spacing w:after="140"/>
        <w:jc w:val="both"/>
      </w:pPr>
      <w:r>
        <w:rPr>
          <w:b/>
          <w:bCs/>
        </w:rPr>
        <w:t xml:space="preserve">Mit veszítünk vele.</w:t>
      </w:r>
      <w:r>
        <w:t xml:space="preserve"> A szülő az asszisztensén keresztül nem tudja megkérdezni, hogyan áll a gyereke az osztályhoz képest. A hivatalos felületen továbbra is látja. Ez a szűkítés nem sérti a javaslat ígéretét, mert az ígéret az, hogy a jogosultság </w:t>
      </w:r>
      <w:r>
        <w:rPr>
          <w:b/>
          <w:bCs/>
        </w:rPr>
        <w:t xml:space="preserve">nem bővül</w:t>
      </w:r>
      <w:r>
        <w:t xml:space="preserve">; a más személyek adatára vonatkozó szűkítést maga a normaszöveg írja elő.</w:t>
      </w:r>
    </w:p>
    <w:p>
      <w:pPr>
        <w:spacing w:after="140"/>
        <w:jc w:val="both"/>
      </w:pPr>
      <w:r>
        <w:rPr>
          <w:b/>
          <w:bCs/>
        </w:rPr>
        <w:t xml:space="preserve">Amit nyerünk vele.</w:t>
      </w:r>
      <w:r>
        <w:t xml:space="preserve"> Elmarad egy egész védelmi gépezet. Küszöbérték nélkül nem kell csoportlétszámot kérni az üzemeltetőtől, és nem kell kezelni a következő problémát sem: ha egy asszisztens lekéri az átlagot hétfőn és pénteken, és közben egyetlen új jegy került be, akkor az a jegy a két átlag különbségéből kiszámítható — </w:t>
      </w:r>
      <w:r>
        <w:rPr>
          <w:b/>
          <w:bCs/>
        </w:rPr>
        <w:t xml:space="preserve">akármekkora a csoport</w:t>
      </w:r>
      <w:r>
        <w:t xml:space="preserve">. Az ismételt, automatizált lekérdezés éppen ezt a különbségi támadást hozza be, és küszöbértékkel nem védhető ki. A funkció kihagyása igen.</w:t>
      </w:r>
    </w:p>
    <w:p>
      <w:pPr>
        <w:pStyle w:val="Heading2"/>
        <w:spacing w:after="160" w:before="320"/>
      </w:pPr>
      <w:r>
        <w:t xml:space="preserve">4.5 A szöveges értékelés szabad szöveg</w:t>
      </w:r>
    </w:p>
    <w:p>
      <w:pPr>
        <w:spacing w:after="140"/>
        <w:jc w:val="both"/>
      </w:pPr>
      <w:r>
        <w:t xml:space="preserve">A szöveges értékelés a tanuló saját adata, tehát alapadatkör. De szabad szöveg, amelybe a pedagógus bármit írhat, ideértve magatartási vagy családi körülményre utaló megjegyzést is.</w:t>
      </w:r>
    </w:p>
    <w:p>
      <w:pPr>
        <w:spacing w:after="140"/>
        <w:jc w:val="both"/>
      </w:pPr>
      <w:r>
        <w:rPr>
          <w:i/>
          <w:iCs/>
        </w:rPr>
        <w:t xml:space="preserve">Javasolt megoldás:</w:t>
      </w:r>
      <w:r>
        <w:t xml:space="preserve"> besorolás szerint marad alapadatkör — a tartalmi kockázat nem besorolással kezelhető. Amit a javaslat tehet: a jóváhagyó képernyőn a szöveges értékelés külön nevesítve jelenjen meg, hogy a szülő tudja, szabad szöveges pedagógusi megjegyzés is kimegy.</w:t>
      </w:r>
    </w:p>
    <w:p>
      <w:pPr>
        <w:pStyle w:val="Heading2"/>
        <w:spacing w:after="160" w:before="320"/>
      </w:pPr>
      <w:r>
        <w:t xml:space="preserve">4.6 Az eszközstátusz szociális helyzetre utalhat</w:t>
      </w:r>
    </w:p>
    <w:p>
      <w:pPr>
        <w:spacing w:after="140"/>
        <w:jc w:val="both"/>
      </w:pPr>
      <w:r>
        <w:t xml:space="preserve">A </w:t>
      </w:r>
      <w:r>
        <w:rPr>
          <w:rFonts w:ascii="Consolas" w:cs="Consolas" w:eastAsia="Consolas" w:hAnsi="Consolas"/>
        </w:rPr>
        <w:t xml:space="preserve">TargyiEszkoz</w:t>
      </w:r>
      <w:r>
        <w:t xml:space="preserve"> végpontok azt mondják meg, kiosztottak-e a tanulónak eszközt és regisztrálták-e. Önmagában technikai adat. Csakhogy az állami eszközkiosztási programok jellemzően rászorultsági alapon célzottak, így </w:t>
      </w:r>
      <w:r>
        <w:rPr>
          <w:b/>
          <w:bCs/>
        </w:rPr>
        <w:t xml:space="preserve">a kiosztás ténye szociális helyzetre enged következtetni</w:t>
      </w:r>
      <w:r>
        <w:t xml:space="preserve">.</w:t>
      </w:r>
    </w:p>
    <w:p>
      <w:pPr>
        <w:spacing w:after="140"/>
        <w:jc w:val="both"/>
      </w:pPr>
      <w:r>
        <w:rPr>
          <w:i/>
          <w:iCs/>
        </w:rPr>
        <w:t xml:space="preserve">Javasolt megoldás:</w:t>
      </w:r>
      <w:r>
        <w:t xml:space="preserve"> korlátozott továbbítású. A szülő a hivatalos felületen látja; MI-szolgáltatóhoz nem megy ki. Ez a funkció amúgy is marginális haszonnal jár egy asszisztensben.</w:t>
      </w:r>
    </w:p>
    <w:p>
      <w:pPr>
        <w:pStyle w:val="Heading2"/>
        <w:spacing w:after="160" w:before="320"/>
      </w:pPr>
      <w:r>
        <w:t xml:space="preserve">4.7 A fogadóóra-foglalás más szülő adata</w:t>
      </w:r>
    </w:p>
    <w:p>
      <w:pPr>
        <w:spacing w:after="140"/>
        <w:jc w:val="both"/>
      </w:pPr>
      <w:r>
        <w:t xml:space="preserve">Ha a fogadóórák listája megmutatja, hogy egy idősávot már lefoglaltak, az önmagában időpontkezelési információ. Ha viszont a foglaló nevét vagy a gyerek nevét is mutatja, az </w:t>
      </w:r>
      <w:r>
        <w:rPr>
          <w:b/>
          <w:bCs/>
        </w:rPr>
        <w:t xml:space="preserve">más szülő és más tanuló adata</w:t>
      </w:r>
      <w:r>
        <w:t xml:space="preserve">.</w:t>
      </w:r>
    </w:p>
    <w:p>
      <w:pPr>
        <w:spacing w:after="140"/>
        <w:jc w:val="both"/>
      </w:pPr>
      <w:r>
        <w:rPr>
          <w:i/>
          <w:iCs/>
        </w:rPr>
        <w:t xml:space="preserve">Javasolt megoldás:</w:t>
      </w:r>
      <w:r>
        <w:t xml:space="preserve"> a szabad és foglalt idősávok delegálhatók, a foglaló azonosítása nem. Ugyanaz a vezérelv, mint a 4.1-nél: rész elhagyása.</w:t>
      </w:r>
    </w:p>
    <w:p>
      <w:pPr>
        <w:pStyle w:val="Heading1"/>
        <w:spacing w:after="160" w:before="320"/>
      </w:pPr>
      <w:r>
        <w:t xml:space="preserve">5. Amit az üzemeltetőtől kell kérni</w:t>
      </w:r>
    </w:p>
    <w:p>
      <w:pPr>
        <w:spacing w:after="140"/>
        <w:jc w:val="both"/>
      </w:pPr>
      <w:r>
        <w:t xml:space="preserve">A katalógus lezárásához négy dolog kell, és mindegyik az üzemeltető oldalán van: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Mezőszintű válaszséma</w:t>
      </w:r>
      <w:r>
        <w:t xml:space="preserve"> minden végponthoz. E nélkül a besorolás végpontnévre épül, ami a 4.1 és 4.2 eset alapján nem elég.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Típuskód a feljegyzésekhez</w:t>
      </w:r>
      <w:r>
        <w:t xml:space="preserve">, hogy a 4.3 eset feloldható legyen.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Mezőszintű szűrés képessége</w:t>
      </w:r>
      <w:r>
        <w:t xml:space="preserve"> a válaszban, mert három eset is részleges elhagyást igényel, nem a funkció tiltását.</w:t>
      </w:r>
    </w:p>
    <w:p>
      <w:pPr>
        <w:spacing w:after="140"/>
        <w:jc w:val="both"/>
      </w:pPr>
      <w:r>
        <w:t xml:space="preserve">A vázlat első menete után a csoportlétszámra vonatkozó kérés okafogyottá vált: az osztályátlag kikerült a delegálható körből (4.4), így küszöbértékre nincs szükség.</w:t>
      </w:r>
    </w:p>
    <w:p>
      <w:pPr>
        <w:pStyle w:val="Heading1"/>
        <w:spacing w:after="160" w:before="320"/>
      </w:pPr>
      <w:r>
        <w:t xml:space="preserve">6. Mi hiányzik még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B) eset</w:t>
      </w:r>
      <w:r>
        <w:t xml:space="preserve">: műveletvégzés az érintett saját adatkörében — igazolás beküldése, jelentkezések, üzenetküldés. Ehhez az üzemeltető írási funkciólistája kell.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C) eset</w:t>
      </w:r>
      <w:r>
        <w:t xml:space="preserve">: pedagógusi és oktatói funkciók. Ez a legnagyobb hiányzó blokk, és a legérzékenyebb, mert ott más érintettek adatairól van szó.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felsőoktatás</w:t>
      </w:r>
      <w:r>
        <w:t xml:space="preserve">: a Neptun és a többi tanulmányi rendszer önálló katalógusa.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Validálás</w:t>
      </w:r>
      <w:r>
        <w:t xml:space="preserve">: a fenti húsz sor mindegyike ellenőrizendő valódi válaszszerkezeten.</w:t>
      </w:r>
    </w:p>
    <w:p>
      <w:pPr>
        <w:pStyle w:val="Heading1"/>
        <w:spacing w:after="160" w:before="320"/>
      </w:pPr>
      <w:r>
        <w:t xml:space="preserve">7. Amit ez a vázlat bizonyít</w:t>
      </w:r>
    </w:p>
    <w:p>
      <w:pPr>
        <w:spacing w:after="140"/>
        <w:jc w:val="both"/>
      </w:pPr>
      <w:r>
        <w:t xml:space="preserve">Három dolgot, és mindhárom az előterjesztés érvelését erősíti.</w:t>
      </w:r>
    </w:p>
    <w:p>
      <w:pPr>
        <w:spacing w:after="140"/>
        <w:jc w:val="both"/>
      </w:pPr>
      <w:r>
        <w:rPr>
          <w:b/>
          <w:bCs/>
        </w:rPr>
        <w:t xml:space="preserve">A besorolás elvégezhető.</w:t>
      </w:r>
      <w:r>
        <w:t xml:space="preserve"> Nem elméleti feladat: húsz funkcióból tizenhárom egyértelmű, hat a mögöttes adatszerkezet ismeretében eldönthető, egy pedig egyszerűen kimarad.</w:t>
      </w:r>
    </w:p>
    <w:p>
      <w:pPr>
        <w:spacing w:after="140"/>
        <w:jc w:val="both"/>
      </w:pPr>
      <w:r>
        <w:rPr>
          <w:b/>
          <w:bCs/>
        </w:rPr>
        <w:t xml:space="preserve">A „saját adat” és a „meglévő jogosultság” nem ugyanaz.</w:t>
      </w:r>
      <w:r>
        <w:t xml:space="preserve"> Az osztályátlag esete (4.4) megmutatta, hogy a kettő szétválhat, és hogy ilyenkor a normaszöveg helyesen dönt: más személy adatára a felhatalmazás alapértelmezésben nem terjed ki. A katalógus tehát nemcsak besorol, hanem </w:t>
      </w:r>
      <w:r>
        <w:rPr>
          <w:b/>
          <w:bCs/>
        </w:rPr>
        <w:t xml:space="preserve">teszteli is a normaszöveget</w:t>
      </w:r>
      <w:r>
        <w:t xml:space="preserve"> — és ezen a ponton a teszt sikeres volt.</w:t>
      </w:r>
    </w:p>
    <w:p>
      <w:pPr>
        <w:spacing w:after="140"/>
        <w:jc w:val="both"/>
      </w:pPr>
      <w:r>
        <w:rPr>
          <w:b/>
          <w:bCs/>
        </w:rPr>
        <w:t xml:space="preserve">A végpontszintű szabályozás nem elég.</w:t>
      </w:r>
      <w:r>
        <w:t xml:space="preserve"> Három esetben — tanulói adatlap, mulasztás, fogadóóra — egyetlen válaszon belül több adatkör van. A rendeletnek ezért mezőszintű besorolást kell lehetővé tennie, és az üzemeltetőnek mezőszintű szűrést kell tudnia.</w:t>
      </w:r>
    </w:p>
    <w:p>
      <w:pPr>
        <w:spacing w:after="140"/>
        <w:jc w:val="both"/>
      </w:pPr>
      <w:r>
        <w:rPr>
          <w:b/>
          <w:bCs/>
        </w:rPr>
        <w:t xml:space="preserve">A katalógus a felület nyilvánosságán múlik.</w:t>
      </w:r>
      <w:r>
        <w:t xml:space="preserve"> Ezt a vázlatot azért lehetett csak részben elkészíteni, mert a válaszmezők nem publikusak. A funkciókatalógus tehát nem előfeltétele a nyitásnak, hanem </w:t>
      </w:r>
      <w:r>
        <w:rPr>
          <w:b/>
          <w:bCs/>
        </w:rPr>
        <w:t xml:space="preserve">következménye</w:t>
      </w:r>
      <w:r>
        <w:t xml:space="preserve">: a dokumentáció közzététele nélkül senki nem tudja elvégezni a besorolást — sem a jogalkotó, sem az adatvédelmi hatóság, sem maga az üzemeltető külső ellenőrzés mellett.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40"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2026-09-16T18:47:47.652Z</dcterms:created>
  <dcterms:modified xsi:type="dcterms:W3CDTF">2026-09-16T18:47:47.655Z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