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spacing w:after="140"/>
        <w:jc w:val="both"/>
      </w:pPr>
      <w:r>
        <w:rPr>
          <w:b/>
          <w:bCs/>
        </w:rPr>
        <w:t xml:space="preserve">2.2 változat.</w:t>
      </w:r>
      <w:r>
        <w:t xml:space="preserve"> A javaslat nem adatnyitást kér, hanem a ma is meglévő hozzáférés kontrollált delegálását, és a kiinduló problémát sem MI-integrációs hiányként írja le, hanem a mindennapi digitális élet széttöredezettségeként — a szülő és a pedagógus oldalán egyaránt. Külön fejezet szól arról, mi történik az adattal a kiadás után, és arról, milyen adatkör vihető egyáltalán tovább külső szolgáltatóhoz. A pedagógusi rész szakpolitikai érvre épül, nem az MI-rendeletből levezetett jogi érvre. A hatásbecslés szűkebb pedagóguskörrel, két külön paraméterrel és példaszámításként szerepel, forintosítás nélkül, és a javaslat pilot-mérést ír elő.</w:t>
      </w:r>
    </w:p>
    <w:p>
      <w:pPr>
        <w:pBdr>
          <w:left w:val="single" w:color="6B7A8F" w:sz="12" w:space="12"/>
        </w:pBdr>
        <w:spacing w:after="60" w:before="60"/>
        <w:ind w:left="360"/>
      </w:pPr>
      <w:r>
        <w:rPr>
          <w:b/>
          <w:bCs/>
        </w:rPr>
        <w:t xml:space="preserve">Egy bekezdésben.</w:t>
      </w:r>
      <w:r>
        <w:t xml:space="preserve"> Ma minden rendszer külön felületet követel, ezért az ember hordja közöttük az információt. A javaslat azt teszi lehetővé, hogy a már meglévő jogosultságát a felhasználó biztonságosan átadhassa a saját eszközének, miközben pontosan látja és kontrollálja, mi történik az adatával.</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szülőnek ma külön alkalmazása van a munkahelyéhez, a bankjához, a parkoláshoz, az egészségügyi időpontokhoz, a háztartási gépeihez; ezek mellé jön az iskolai, két gyerek esetén nem is egy. A pedagógusnak külön rendszerben van a napló, a kommunikáció, az órarend, a tananyag és az értékelés. Mindkettőjüknél ugyanaz történik: </w:t>
      </w:r>
      <w:r>
        <w:rPr>
          <w:b/>
          <w:bCs/>
        </w:rPr>
        <w:t xml:space="preserve">az ember az integrációs réteg</w:t>
      </w:r>
      <w:r>
        <w:t xml:space="preserve"> a rendszerek között, ő hordja fejben az információt egyikből a másikba.</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felhasználó jogosultsága nem változik; az új kockázat abból fakad, hogy a felhatalmazott szoftver is hozzáfér az adathoz, majd azt tovább kezeli.</w:t>
      </w:r>
      <w:r>
        <w:t xml:space="preserve"> Aki ma a KRÉTA-ban látja a gyermeke jegyeit, holnap is ugyanazokat fogja látni. Ami új, az az, hogy rajta kívül egy program is megkapja őket, és azokkal kezd valamit: továbbküldheti egy MI-szolgáltatónak, tárolhatja, esetleg az Unión kívülre viheti. A javaslat súlypontja ezért a felhasználás szabályozásán van.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az 1.0 változat ellenérveinek többsége nem a javaslatot, hanem a javaslat túlfogalmazását támadta.</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 nem jogi minősítés.</w:t>
      </w:r>
    </w:p>
    <w:p>
      <w:pPr>
        <w:pStyle w:val="ListParagraph"/>
        <w:numPr>
          <w:ilvl w:val="0"/>
          <w:numId w:val="1"/>
        </w:numPr>
        <w:spacing w:after="60"/>
      </w:pPr>
      <w:r>
        <w:rPr>
          <w:b/>
          <w:bCs/>
        </w:rPr>
        <w:t xml:space="preserve">Nem állítjuk, hogy a javasolt jogosultság a hatályos jogból levezethető.</w:t>
      </w:r>
      <w:r>
        <w:t xml:space="preserve"> A GDPR 20. cikke szerinti adathordozhatóság a közérdekű feladat végrehajtásához szükséges adatkezelésre — így az oktatási nyilvántartásokra — a 20. cikk (3) bekezdése alapján nem alkalmazandó. A 15. cikk szerinti hozzáférési jog egyszeri másolatra szól, nem folyamatos gépi hozzáférésre. Amit javaslunk, </w:t>
      </w:r>
      <w:r>
        <w:rPr>
          <w:b/>
          <w:bCs/>
        </w:rPr>
        <w:t xml:space="preserve">új ágazati jogosultság</w:t>
      </w:r>
      <w:r>
        <w:t xml:space="preserve">. Ezt vállaljuk, nem álcázzuk meglévő jog technikai megvalósításának.</w:t>
      </w:r>
    </w:p>
    <w:p>
      <w:pPr>
        <w:pStyle w:val="ListParagraph"/>
        <w:numPr>
          <w:ilvl w:val="0"/>
          <w:numId w:val="1"/>
        </w:numPr>
        <w:spacing w:after="60"/>
      </w:pPr>
      <w:r>
        <w:rPr>
          <w:b/>
          <w:bCs/>
        </w:rPr>
        <w:t xml:space="preserve">Nem állítjuk, hogy az MI-rendelet vagy az adatrendelet kötelezné az üzemeltetőt felület nyitására.</w:t>
      </w:r>
      <w:r>
        <w:t xml:space="preserve"> Ezeket irányjelzőként hívjuk fel, nem jogalapként.</w:t>
      </w:r>
    </w:p>
    <w:p>
      <w:pPr>
        <w:pStyle w:val="ListParagraph"/>
        <w:numPr>
          <w:ilvl w:val="0"/>
          <w:numId w:val="1"/>
        </w:numPr>
        <w:spacing w:after="60"/>
      </w:pPr>
      <w:r>
        <w:rPr>
          <w:b/>
          <w:bCs/>
        </w:rPr>
        <w:t xml:space="preserve">Nem javasoljuk, hogy ellenőrzés nélkül regisztrált szoftver írási műveletet végezhessen az oktatási nyilvántartásban.</w:t>
      </w:r>
    </w:p>
    <w:p>
      <w:pPr>
        <w:pStyle w:val="ListParagraph"/>
        <w:numPr>
          <w:ilvl w:val="0"/>
          <w:numId w:val="1"/>
        </w:numPr>
        <w:spacing w:after="60"/>
      </w:pPr>
      <w:r>
        <w:rPr>
          <w:b/>
          <w:bCs/>
        </w:rPr>
        <w:t xml:space="preserve">Nem javasoljuk, hogy a pedagógus saját elhatározásából szoftvernek engedhesse át a munkaköri jogosultságát.</w:t>
      </w:r>
      <w:r>
        <w:t xml:space="preserve"> A tanári oldalon a felhatalmazás az adatkezelő intézmény döntése.</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ma is megvan, csak egyetlen csatornán</w:t>
      </w:r>
    </w:p>
    <w:p>
      <w:pPr>
        <w:spacing w:after="140"/>
        <w:jc w:val="both"/>
      </w:pPr>
      <w:r>
        <w:t xml:space="preserve">A szülő ma belép a KRÉTA-ba, és látja a gyermeke jegyeit, hiányzásait, órarendjét, számonkéréseit. A tanuló ugyanezt a sajátjára. A hallgató a Neptunban a vizsgáit és határidőit. Ez a hozzáférés </w:t>
      </w:r>
      <w:r>
        <w:rPr>
          <w:b/>
          <w:bCs/>
        </w:rPr>
        <w:t xml:space="preserve">létezik, jogszerű és megszokott</w:t>
      </w:r>
      <w:r>
        <w:t xml:space="preserve">. Egyetlen korlátja van: kizárólag azon az alkalmazáson keresztül gyakorolható, amelyet az üzemeltető ad ki.</w:t>
      </w:r>
    </w:p>
    <w:p>
      <w:pPr>
        <w:spacing w:after="140"/>
        <w:jc w:val="both"/>
      </w:pPr>
      <w:r>
        <w:t xml:space="preserve">Ez a korlát nem az adatvédelemből következik. Nem azért van, mert a szülő nem láthatná az adatot — hiszen látja. Azért van, mert a belépési rendszer nem teszi lehetővé, hogy harmadik fél szoftvere a felhasználó engedélyével kapcsolódjon.</w:t>
      </w:r>
    </w:p>
    <w:p>
      <w:pPr>
        <w:pStyle w:val="Heading2"/>
        <w:spacing w:after="160" w:before="320"/>
      </w:pPr>
      <w:r>
        <w:t xml:space="preserve">1.3 Ami nem változik: a jogosultsági kör</w:t>
      </w:r>
    </w:p>
    <w:p>
      <w:pPr>
        <w:spacing w:after="140"/>
        <w:jc w:val="both"/>
      </w:pPr>
      <w:r>
        <w:t xml:space="preserve">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w:t>
      </w:r>
    </w:p>
    <w:p>
      <w:pPr>
        <w:spacing w:after="140"/>
        <w:jc w:val="both"/>
      </w:pPr>
      <w:r>
        <w:t xml:space="preserve">Ezt azért hangsúlyozzuk, mert a javaslat leggyakoribb félreértése az, hogy „megnyitjuk a KRÉTA-t”. Nem nyitunk meg semmit. A KRÉTA ma is nyitva van — a jogosult felhasználó felé, egyetlen csatornán. A javaslat a csatornát teszi választhatóvá, és cserébe </w:t>
      </w:r>
      <w:r>
        <w:rPr>
          <w:b/>
          <w:bCs/>
        </w:rPr>
        <w:t xml:space="preserve">láthatóvá és visszavonhatóvá</w:t>
      </w:r>
      <w:r>
        <w:t xml:space="preserve"> teszi azt, ami ma jelszóátadással, láthatatlanul történik.</w:t>
      </w:r>
    </w:p>
    <w:p>
      <w:pPr>
        <w:pStyle w:val="Heading2"/>
        <w:spacing w:after="160" w:before="320"/>
      </w:pPr>
      <w:r>
        <w:t xml:space="preserve">1.4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Az 1.0 változat ezeket egyetlen elvként vezette fel — „aki hozzáfér, ugyanazt tehesse a saját eszközével is” —, és ez volt a szöveg legsúlyosabb szerkezeti hibája: a legvédhetőbb esetre szabott indokolás a legkockázatosabb esetet is igazolni látszott.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és a hozzáférés ma is megvan.</w:t>
      </w:r>
    </w:p>
    <w:p>
      <w:pPr>
        <w:spacing w:after="140"/>
        <w:jc w:val="both"/>
      </w:pPr>
      <w:r>
        <w:t xml:space="preserve">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helyesbítés a korábbi változathoz képest</w:t>
      </w:r>
    </w:p>
    <w:p>
      <w:pPr>
        <w:spacing w:after="140"/>
        <w:jc w:val="both"/>
      </w:pPr>
      <w:r>
        <w:t xml:space="preserve">Az 1.0 változat az </w:t>
      </w:r>
      <w:r>
        <w:rPr>
          <w:b/>
          <w:bCs/>
        </w:rPr>
        <w:t xml:space="preserve">(EU) 2023/2854 rendeletet</w:t>
      </w:r>
      <w:r>
        <w:t xml:space="preserve"> (adatrendelet) a jogfejlődés láncszemeként mutatta be. Ez pontatlan volt.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Ebből </w:t>
      </w:r>
      <w:r>
        <w:rPr>
          <w:b/>
          <w:bCs/>
        </w:rPr>
        <w:t xml:space="preserve">nem következik</w:t>
      </w:r>
      <w:r>
        <w:t xml:space="preserve">, hogy bármely oktatási rendszernek programozói felületet kellene nyitnia.</w:t>
      </w:r>
    </w:p>
    <w:p>
      <w:pPr>
        <w:spacing w:after="140"/>
        <w:jc w:val="both"/>
      </w:pPr>
      <w:r>
        <w:t xml:space="preserve">Egyetlen, szűk következtetést vonunk le: ha az iskoláknak jogszabályi kötelességük felkészülten megszervezni az MI-használatot, akkor ehhez jogszerű technikai csatornának is léteznie kell. A pedagógusi oldal érdemi indokolása azonban </w:t>
      </w:r>
      <w:r>
        <w:rPr>
          <w:b/>
          <w:bCs/>
        </w:rPr>
        <w:t xml:space="preserve">nem jogi, hanem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 legnagyobb bankoknak.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 világában a harmadik fél szolgáltatók </w:t>
      </w:r>
      <w:r>
        <w:rPr>
          <w:b/>
          <w:bCs/>
        </w:rPr>
        <w:t xml:space="preserve">engedélyezett, felügyelt szereplők</w:t>
      </w:r>
      <w:r>
        <w:t xml:space="preserve">, és a rendszer minősített tanúsítványokra épít. Aki ismeri az Open Bankinget, joggal mondhatja, hogy egy „egyedi engedélyezési eljárás nélküli” kliensregisztráció éppen a példa legfontosabb elemét hagyná ki: a </w:t>
      </w:r>
      <w:r>
        <w:rPr>
          <w:b/>
          <w:bCs/>
        </w:rPr>
        <w:t xml:space="preserve">bizalmi keretet</w:t>
      </w:r>
      <w:r>
        <w:t xml:space="preserve">.</w:t>
      </w:r>
    </w:p>
    <w:p>
      <w:pPr>
        <w:spacing w:after="140"/>
        <w:jc w:val="both"/>
      </w:pPr>
      <w:r>
        <w:t xml:space="preserve">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és a nevében belépni;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belépési tokeneket saját maga tárolni és frissen tartani;</w:t>
      </w:r>
    </w:p>
    <w:p>
      <w:pPr>
        <w:pStyle w:val="ListParagraph"/>
        <w:numPr>
          <w:ilvl w:val="0"/>
          <w:numId w:val="1"/>
        </w:numPr>
        <w:spacing w:after="60"/>
      </w:pPr>
      <w:r>
        <w:t xml:space="preserve">a KRÉTA-hívásokat lakossági hálózaton keresztül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Európai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t xml:space="preserve">Itt érdemes kimondani a legfontosabb következményt: </w:t>
      </w:r>
      <w:r>
        <w:rPr>
          <w:b/>
          <w:bCs/>
        </w:rPr>
        <w:t xml:space="preserve">a zárt rendszer nem az ellenőrizetlen használatot akadályozza, hanem az ellenőrzöttet.</w:t>
      </w:r>
      <w:r>
        <w:t xml:space="preserve"> A kimásolást senki nem tudja megállítani. Amit a zártság megakadályoz, az a szabályos, naplózott, intézményileg engedélyezett út.</w:t>
      </w:r>
    </w:p>
    <w:p>
      <w:pPr>
        <w:spacing w:after="140"/>
        <w:jc w:val="both"/>
      </w:pPr>
      <w:r>
        <w:t xml:space="preserve">Ez a leírás </w:t>
      </w:r>
      <w:r>
        <w:rPr>
          <w:b/>
          <w:bCs/>
        </w:rPr>
        <w:t xml:space="preserve">feltételezést is tartalmaz</w:t>
      </w:r>
      <w:r>
        <w:t xml:space="preserve">: arról, hogy ez a gyakorlat milyen gyakori, nincs hazai mérés. Éppen ez a kár egyik formája —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azt mondja meg, az adminisztrációnak mekkora része kötődik egyáltalán tanulmányi rendszerből származó adathoz. Az </w:t>
      </w:r>
      <w:r>
        <w:rPr>
          <w:b/>
          <w:bCs/>
        </w:rPr>
        <w:t xml:space="preserve">időnyereség</w:t>
      </w:r>
      <w:r>
        <w:t xml:space="preserve"> azt, hogy ezen belül mennyit rövidít az integrált MI — beleszámítva azt is, hogy a pedagógusnak utólag ellenőriznie kell a kimenetet.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forintosítjuk.</w:t>
      </w:r>
      <w:r>
        <w:t xml:space="preserve"> A korábbi változat bérértéken is kifejezte ezt az időt. Ezt kivettük.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tisztább és védhetőbb állítás, mint bármely forintösszeg,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ahol lehetséges, hasonló feladatot végző kontrollcsoporttal összevetve.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pStyle w:val="ListParagraph"/>
        <w:numPr>
          <w:ilvl w:val="0"/>
          <w:numId w:val="1"/>
        </w:numPr>
        <w:spacing w:after="60"/>
      </w:pPr>
      <w:r>
        <w:t xml:space="preserve">Nem akadályozza meg, hogy a felhasználó rossz döntést hozzon és megbízhatatlan szoftvernek adjon felhatalmazást. Csökkenti a kárt, nem szünteti meg. A 8.2 pont szerinti tájékoztatás azért fontos, mert a döntést jobbá teszi, de nem veszi el.</w:t>
      </w:r>
    </w:p>
    <w:p>
      <w:pPr>
        <w:pStyle w:val="ListParagraph"/>
        <w:numPr>
          <w:ilvl w:val="0"/>
          <w:numId w:val="1"/>
        </w:numPr>
        <w:spacing w:after="60"/>
      </w:pPr>
      <w:r>
        <w:t xml:space="preserve">Nem szabályozza, mi történik az adattal a klienshez érkezése után; erről a 8. fejezet szól, és annak is vannak korlátai (8.4).</w:t>
      </w:r>
    </w:p>
    <w:p>
      <w:pPr>
        <w:pStyle w:val="ListParagraph"/>
        <w:numPr>
          <w:ilvl w:val="0"/>
          <w:numId w:val="1"/>
        </w:numPr>
        <w:spacing w:after="60"/>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felhasználó jogosultsága nem változik: a szülő ma is látja a gyermeke jegyeit, és ezután is ugyanazokat fogja látni. Az új kockázat abból fakad, hogy rajta kívül </w:t>
      </w:r>
      <w:r>
        <w:rPr>
          <w:b/>
          <w:bCs/>
        </w:rPr>
        <w:t xml:space="preserve">a felhatalmazott szoftver is hozzáfér</w:t>
      </w:r>
      <w:r>
        <w:t xml:space="preserve"> ehhez az adathoz, majd azt tovább kezeli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w:t>
      </w:r>
      <w:r>
        <w:t xml:space="preserve">, amelyeket a kormányrendeletnek elő kell írnia:</w:t>
      </w:r>
    </w:p>
    <w:p>
      <w:pPr>
        <w:pStyle w:val="ListParagraph"/>
        <w:numPr>
          <w:ilvl w:val="0"/>
          <w:numId w:val="2"/>
        </w:numPr>
        <w:spacing w:after="60"/>
      </w:pPr>
      <w:r>
        <w:t xml:space="preserve">milyen adatkört kap meg a szoftver, és mit </w:t>
      </w:r>
      <w:r>
        <w:rPr>
          <w:b/>
          <w:bCs/>
        </w:rPr>
        <w:t xml:space="preserve">nem</w:t>
      </w:r>
      <w:r>
        <w:t xml:space="preserve"> kap meg;</w:t>
      </w:r>
    </w:p>
    <w:p>
      <w:pPr>
        <w:pStyle w:val="ListParagraph"/>
        <w:numPr>
          <w:ilvl w:val="0"/>
          <w:numId w:val="2"/>
        </w:numPr>
        <w:spacing w:after="60"/>
      </w:pPr>
      <w:r>
        <w:t xml:space="preserve">továbbítja-e az adatot más szolgáltatónak, és ha igen, kinek, néven nevezve;</w:t>
      </w:r>
    </w:p>
    <w:p>
      <w:pPr>
        <w:pStyle w:val="ListParagraph"/>
        <w:numPr>
          <w:ilvl w:val="0"/>
          <w:numId w:val="2"/>
        </w:numPr>
        <w:spacing w:after="60"/>
      </w:pPr>
      <w:r>
        <w:t xml:space="preserve">elhagyja-e az adat az Európai Gazdasági Térséget, és ha igen, melyik országba;</w:t>
      </w:r>
    </w:p>
    <w:p>
      <w:pPr>
        <w:pStyle w:val="ListParagraph"/>
        <w:numPr>
          <w:ilvl w:val="0"/>
          <w:numId w:val="2"/>
        </w:numPr>
        <w:spacing w:after="60"/>
      </w:pPr>
      <w:r>
        <w:t xml:space="preserve">tárolják-e, és meddig;</w:t>
      </w:r>
    </w:p>
    <w:p>
      <w:pPr>
        <w:pStyle w:val="ListParagraph"/>
        <w:numPr>
          <w:ilvl w:val="0"/>
          <w:numId w:val="2"/>
        </w:numPr>
        <w:spacing w:after="60"/>
      </w:pPr>
      <w:r>
        <w:t xml:space="preserve">használják-e a szoftver vagy a mesterséges intelligencia fejlesztésére, tanítására;</w:t>
      </w:r>
    </w:p>
    <w:p>
      <w:pPr>
        <w:pStyle w:val="ListParagraph"/>
        <w:numPr>
          <w:ilvl w:val="0"/>
          <w:numId w:val="2"/>
        </w:numPr>
        <w:spacing w:after="60"/>
      </w:pPr>
      <w:r>
        <w:t xml:space="preserve">mi történik a visszavonáskor: mikor szűnik meg a hozzáférés, és mi lesz a már átadott adattal;</w:t>
      </w:r>
    </w:p>
    <w:p>
      <w:pPr>
        <w:pStyle w:val="ListParagraph"/>
        <w:numPr>
          <w:ilvl w:val="0"/>
          <w:numId w:val="2"/>
        </w:numPr>
        <w:spacing w:after="60"/>
      </w:pPr>
      <w:r>
        <w:t xml:space="preserve">meddig szól a felhatalmazás, és hol vonható vissza;</w:t>
      </w:r>
    </w:p>
    <w:p>
      <w:pPr>
        <w:pStyle w:val="ListParagraph"/>
        <w:numPr>
          <w:ilvl w:val="0"/>
          <w:numId w:val="2"/>
        </w:numPr>
        <w:spacing w:after="60"/>
      </w:pPr>
      <w:r>
        <w:t xml:space="preserve">szülői felhatalmazásnál a gyermek megnevezése, akinek az adatairól szó van.</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Korlátozott továbbítású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rPr>
          <w:b/>
          <w:bCs/>
        </w:rPr>
        <w:t xml:space="preserve">A „korlátozott továbbítású adatkör” ennek a javaslatnak a saját szabályozási kategóriája</w:t>
      </w:r>
      <w:r>
        <w:t xml:space="preserve">, nem a hatályos adatvédelmi jog terminusa. Teljes alakja: a delegált továbbítás szempontjából fokozott védelem alá sorolt adatkör. A besorolás nem az adat jogi minősítését változtatja meg, hanem azt mondja meg, mi mehet ki a delegált csatornán.</w:t>
      </w:r>
    </w:p>
    <w:p>
      <w:pPr>
        <w:spacing w:after="140"/>
        <w:jc w:val="both"/>
      </w:pPr>
      <w:r>
        <w:t xml:space="preserve">Ebből következik a legfontosabb pontosítás: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korlátozott továbbítású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és amit a 14. fejezet nyitott kérdésként rögzít: az adatkörök tételes, mezőszintű besorolását, és annak eldöntését, hogy egy MI-szolgáltató mit tehet a kapott adattal a saját rendszerén belül.</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a felületig terjed.</w:t>
      </w:r>
      <w:r>
        <w:t xml:space="preserve"> Azért, amit a felhatalmazott szoftver az adattal a kiadás után tesz, az üzemeltető nem felel.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A korábbi változat „a hivatalos alkalmazásokban elérhető funkciók 100%-át” ígérte. Ezt visszavonjuk: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pusztán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áttekinteni a lemaradásra utaló, a pedagógus számára amúgy is rendelkezésre álló jeleket</w:t>
      </w:r>
      <w:r>
        <w:t xml:space="preserve"> — a jegyeket, hiányzásokat és határidőket együtt, ahelyett hogy három felületen kellene összenéznie őket;</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p>
      <w:pPr>
        <w:spacing w:after="140"/>
        <w:jc w:val="both"/>
      </w:pPr>
      <w:r>
        <w:rPr>
          <w:b/>
          <w:bCs/>
        </w:rPr>
        <w:t xml:space="preserve">Szülők és gondviselők.</w:t>
      </w:r>
      <w:r>
        <w:t xml:space="preserve"> Rövid táv (2027–2028): jelszóátadás nélkül, a KRÉTA-ban látható és visszavonható módon kapcsolhatják a választott asszisztensüket a gyermekük iskolai adataihoz — és a döntés pillanatában megtudják, hová kerül az adat. Nem kell még egy külön iskolai alkalmazást használniuk, és több gyerek esetén sem kell külön felületeket végigjárniuk: egy kérdés a már használt eszközükben mindkét gyerekre válaszol. Középtáv: a kevésbé gyakorlott digitális felhasználók és a nem magyar anyanyelvű családok is könnyebben követik gyermekük iskolai ügyeit; ez a 6.4 pont szerint feltételezés, amelyet a hatásmérésnek igazolnia kell.</w:t>
      </w:r>
    </w:p>
    <w:p>
      <w:pPr>
        <w:spacing w:after="140"/>
        <w:jc w:val="both"/>
      </w:pPr>
      <w:r>
        <w:rPr>
          <w:b/>
          <w:bCs/>
        </w:rPr>
        <w:t xml:space="preserve">Tanulók.</w:t>
      </w:r>
      <w:r>
        <w:t xml:space="preserve"> Rövid táv: a saját órarendjüket, feladataikat és határidőiket az általuk használt eszközökben kezelhetik. Középtáv: tanulástámogató alkalmazások építhetnek naprakész iskolai adatokra.</w:t>
      </w:r>
    </w:p>
    <w:p>
      <w:pPr>
        <w:spacing w:after="140"/>
        <w:jc w:val="both"/>
      </w:pPr>
      <w:r>
        <w:rPr>
          <w:b/>
          <w:bCs/>
        </w:rPr>
        <w:t xml:space="preserve">Pedagógusok.</w:t>
      </w:r>
      <w:r>
        <w:t xml:space="preserve"> Rövid táv (2028-tól): az intézmény által engedélyezett eszköz szabályosan kapcsolódhat; a kézi másolás helyére ellenőrizhető folyamat lép, és a pedagógus nem viseli személyesen a szabálytalan használat kockázatát. Középtáv: a 10.3 pontban felsorolt munkafolyamatok támogatása, a pilot által mért tényleges időnyereséggel.</w:t>
      </w:r>
    </w:p>
    <w:p>
      <w:pPr>
        <w:spacing w:after="140"/>
        <w:jc w:val="both"/>
      </w:pPr>
      <w:r>
        <w:rPr>
          <w:b/>
          <w:bCs/>
        </w:rPr>
        <w:t xml:space="preserve">Intézmények és fenntartók.</w:t>
      </w:r>
      <w:r>
        <w:t xml:space="preserve"> Rövid táv: először látják, milyen szoftverek férnek hozzá az általuk kezelt adatokhoz, és korlátozhatják azokat. Középtáv: az MI-eszközök beszerzése szállítófüggetlenné válik.</w:t>
      </w:r>
    </w:p>
    <w:p>
      <w:pPr>
        <w:spacing w:after="140"/>
        <w:jc w:val="both"/>
      </w:pPr>
      <w:r>
        <w:rPr>
          <w:b/>
          <w:bCs/>
        </w:rPr>
        <w:t xml:space="preserve">Hallgatók és oktatók.</w:t>
      </w:r>
      <w:r>
        <w:t xml:space="preserve"> Középtáv (2028-tól): a tanulmányi rendszerek adatai intézménytől függetlenül, egységes módon kezelhetők.</w:t>
      </w:r>
    </w:p>
    <w:p>
      <w:pPr>
        <w:spacing w:after="140"/>
        <w:jc w:val="both"/>
      </w:pPr>
      <w:r>
        <w:rPr>
          <w:b/>
          <w:bCs/>
        </w:rPr>
        <w:t xml:space="preserve">Hazai fejlesztők.</w:t>
      </w:r>
      <w:r>
        <w:t xml:space="preserve"> Középtáv: stabil, dokumentált felületre építhetnek, és a tisztább adatkezelés a jóváhagyó képernyőn versenyelőnnyé válik. Hosszú táv (2030-tól): a megoldások a hasonló nemzetközi szabványok mentén exportálhatók.</w:t>
      </w:r>
    </w:p>
    <w:p>
      <w:pPr>
        <w:spacing w:after="140"/>
        <w:jc w:val="both"/>
      </w:pPr>
      <w:r>
        <w:rPr>
          <w:b/>
          <w:bCs/>
        </w:rPr>
        <w:t xml:space="preserve">Rendszerüzemeltetők és az állam.</w:t>
      </w:r>
      <w:r>
        <w:t xml:space="preserve"> Rövid táv: a bevezetés a meglévő felületekre és a már OAuth-alapú hitelesítési infrastruktúrára építhet, de új kliensregisztrációs, felhatalmazás-kezelési, dokumentációs, biztonsági és üzemeltetési képességeket igényel — köztük a kérésszám-korlátozást, a visszaélés-felismerést, a felügyeletet, a tesztkörnyezet fenntartását és a fejlesztői támogatást. Ezek ráfordítását a 14. fejezet nyitott kérdésként kezeli. A megkerülő megoldások okozta nem tervezett forgalom szabályozott, azonosítható forgalommá válik, és az üzemeltető felelőssége a 9. fejezet szerint egyértelművé válik. Középtáv: a pilot és a nyilvános hatásmérés alapján az oktatási digitalizáció eredménye mérhető.</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azért az adatkezelésért, amelyet a felhatalmazott szoftver kiadója az adat átadását követően, saját adatkezelőként végez.”</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p>
    <w:p>
      <w:pPr>
        <w:pStyle w:val="ListParagraph"/>
        <w:numPr>
          <w:ilvl w:val="0"/>
          <w:numId w:val="1"/>
        </w:numPr>
        <w:spacing w:after="60"/>
      </w:pPr>
      <w:r>
        <w:rPr>
          <w:i/>
          <w:iCs/>
        </w:rPr>
        <w:t xml:space="preserve">1. szint:</w:t>
      </w:r>
      <w:r>
        <w:t xml:space="preserve"> önkiszolgáló, dinamikus kliensregisztráció (RFC 7591), egyedi engedélyezési eljárás nélkül; kizárólag olvasás az érintett saját adatkörében, az alapadatkörben; kérésszám-korlát és rövid tokenélettartam; a jóváhagyó képernyő jelzi, hogy a kiadó nincs átvilágítva.</w:t>
      </w:r>
    </w:p>
    <w:p>
      <w:pPr>
        <w:pStyle w:val="ListParagraph"/>
        <w:numPr>
          <w:ilvl w:val="0"/>
          <w:numId w:val="1"/>
        </w:numPr>
        <w:spacing w:after="60"/>
      </w:pPr>
      <w:r>
        <w:rPr>
          <w:i/>
          <w:iCs/>
        </w:rPr>
        <w:t xml:space="preserve">2. szint:</w:t>
      </w:r>
      <w:r>
        <w:t xml:space="preserve"> azonosított kiadó, aláírt szoftvernyilatkozat, bizalmas kliens aszimmetrikus kulcsú hitelesítéssel, birtokláshoz kötött hozzáférési token; műveletvégzés az érintett saját adatkörében, valamint pedagógusi és oktatói olvasás.</w:t>
      </w:r>
    </w:p>
    <w:p>
      <w:pPr>
        <w:pStyle w:val="ListParagraph"/>
        <w:numPr>
          <w:ilvl w:val="0"/>
          <w:numId w:val="1"/>
        </w:numPr>
        <w:spacing w:after="60"/>
      </w:pPr>
      <w:r>
        <w:rPr>
          <w:i/>
          <w:iCs/>
        </w:rPr>
        <w:t xml:space="preserve">3. szint:</w:t>
      </w:r>
      <w:r>
        <w:t xml:space="preserve"> a 2. szint feltételei, valamint érvényes adatfeldolgozói szerződés és intézményi engedélyezés; emelt biztonsági profil (FAPI 2.0 Security Profile) vagy azzal egyenértékű megoldás és kliensattesztáció; műveletvégzés intézményi feladatkörben.</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Hogyan mér:</w:t>
      </w:r>
      <w:r>
        <w:t xml:space="preserve"> ahol lehetséges, hasonló feladatot végző kontrollcsoporttal összevetve, hogy az eredmény ne pusztán az előtte-utána különbségén múljon.</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 nem feltételezés.</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de a besorolás elvégzése önálló, jelentős szakmai munka.</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korlátozott továbbítású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 4.3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2026-09-16T16:31:57.001Z</dcterms:created>
  <dcterms:modified xsi:type="dcterms:W3CDTF">2026-09-16T16:31:57.012Z</dcterms:modified>
</cp:coreProperties>
</file>

<file path=docProps/custom.xml><?xml version="1.0" encoding="utf-8"?>
<Properties xmlns="http://schemas.openxmlformats.org/officeDocument/2006/custom-properties" xmlns:vt="http://schemas.openxmlformats.org/officeDocument/2006/docPropsVTypes"/>
</file>