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60" w:before="0"/>
      </w:pPr>
      <w:r>
        <w:t xml:space="preserve">AI-Ország: szabad tananyag</w:t>
      </w:r>
    </w:p>
    <w:p>
      <w:pPr>
        <w:pStyle w:val="Heading1"/>
        <w:spacing w:after="160" w:before="320"/>
      </w:pPr>
      <w:r>
        <w:t xml:space="preserve">Munkacsoporti összefoglaló — szerkesztői javaslat</w:t>
      </w:r>
    </w:p>
    <w:p>
      <w:pPr>
        <w:spacing w:after="140"/>
        <w:jc w:val="both"/>
      </w:pPr>
      <w:r>
        <w:rPr>
          <w:i/>
          <w:iCs/>
        </w:rPr>
        <w:t xml:space="preserve">Ez a szöveg az „AI-Ország: szabad tananyag" előterjesztés tartalmából készült, ugyanabban a szerkezetben, mint a testvéranyag munkacsoporti összefoglalója, hogy a kettő egymás mellett olvasható legyen. Az állításokat az eredeti anyagból vettük, saját tartalmat nem tettünk hozzá. Ahol a szerkezet olyat kér, amire az eredeti nem ad választ, ott</w:t>
      </w:r>
      <w:r>
        <w:t xml:space="preserve"> [KITÖLTENDŐ] </w:t>
      </w:r>
      <w:r>
        <w:rPr>
          <w:i/>
          <w:iCs/>
        </w:rPr>
        <w:t xml:space="preserve">jelölés áll. A szöveg javaslat a szerzőnek, nem helyettesíti a saját összefoglalóját.</w:t>
      </w:r>
    </w:p>
    <w:p>
      <w:pPr>
        <w:pStyle w:val="Heading2"/>
        <w:spacing w:after="160" w:before="320"/>
      </w:pPr>
      <w:r>
        <w:t xml:space="preserve">Miről szól</w:t>
      </w:r>
    </w:p>
    <w:p>
      <w:pPr>
        <w:spacing w:after="140"/>
        <w:jc w:val="both"/>
      </w:pPr>
      <w:r>
        <w:t xml:space="preserve">A magyar oktatási tartalom jogi státusza tisztázatlan. A Nemzeti alaptanterv szövege a 110/2012. (VI. 4.) Korm. rendelet melléklete, ezért a szerzői jogról szóló 1999. évi LXXVI. törvény alapján eleve nem áll szerzői jogi védelem alatt. A gyakorlati akadály az arra épülő tartalom: az állami tankönyvek, munkafüzetek, feladatbankok, digitális taneszközök és a Nemzeti Köznevelési Portál anyagai, amelyekre nincs kifejezett nyílt licenc. Emiatt egy magyar oktatástechnológiai fejlesztő ma jogszerűen nem tud magyar tantervhez illesztett, magyar nyelvű tanítókorpuszt építeni.</w:t>
      </w:r>
    </w:p>
    <w:p>
      <w:pPr>
        <w:spacing w:after="140"/>
        <w:jc w:val="both"/>
      </w:pPr>
      <w:r>
        <w:t xml:space="preserve">A javaslat ezeket a tartalmakat Creative Commons Nevezd meg! 4.0 licenc alá helyezné, a NAT és a kerettantervek szerkezetét pedig strukturált, gépi olvasható formában tenné közzé.</w:t>
      </w:r>
    </w:p>
    <w:p>
      <w:pPr>
        <w:pStyle w:val="Heading2"/>
        <w:spacing w:after="160" w:before="320"/>
      </w:pPr>
      <w:r>
        <w:t xml:space="preserve">Viszonya a saját oktatási adat előterjesztéshez</w:t>
      </w:r>
    </w:p>
    <w:p>
      <w:pPr>
        <w:spacing w:after="140"/>
        <w:jc w:val="both"/>
      </w:pPr>
      <w:r>
        <w:t xml:space="preserve">A két anyag ugyanannak az oktatási pilotnak a két fele, és a tárgyuk nem fedi egymást. A tananyag azt határozza meg, mit tud egy oktatási MI; a másik anyag azt, hogy kiről és mire használhatja. Ez az anyag közpénzből előállított művek nyílt licencéről szól, és a személyes adatokat kifejezetten kizárja a hatálya alól. Más törvényeket módosítanak: ez a közadatok újrahasznosításáról szóló és a tankönyvellátási törvényt, a másik a köznevelési és a felsőoktatási törvényt. Egy csomagban ütközés nélkül állnak egymás mellett.</w:t>
      </w:r>
    </w:p>
    <w:p>
      <w:pPr>
        <w:pStyle w:val="Heading2"/>
        <w:spacing w:after="160" w:before="320"/>
      </w:pPr>
      <w:r>
        <w:t xml:space="preserve">A probléma</w:t>
      </w:r>
    </w:p>
    <w:p>
      <w:pPr>
        <w:spacing w:after="140"/>
        <w:jc w:val="both"/>
      </w:pPr>
      <w:r>
        <w:t xml:space="preserve">Az állami tananyagfejlesztés túlnyomórészt közpénzből, állami intézményi keretben folyik, mert a tankönyvellátás a 2013. évi CCXXXII. törvény alapján fokozatosan állami feladattá és állami kiadói modellé alakult. A keletkező művek nyílt licencelése ezért tulajdonosi és jogdíjpolitikai döntés kérdése.</w:t>
      </w:r>
    </w:p>
    <w:p>
      <w:pPr>
        <w:spacing w:after="140"/>
        <w:jc w:val="both"/>
      </w:pPr>
      <w:r>
        <w:t xml:space="preserve">A kár időzített. A nagy nemzetközi szereplők már kiadták oktatási termékeiket és tanulási célú modellváltozataikat, és ezek magyar diákokhoz is eljutnak. Ha a hazai tananyagvagyon nem szabadon felhasználható, a magyar tanuló idegen tantervi logikára és idegen példaanyagra tanított eszközön tanul, a magyar oktatástechnológiai szektor pedig nem tud versenyképes alternatívát építeni. A veszteség kétirányú: a hazai piac egy most alakuló szegmensben, és a magyar tantervi tartalom hatása a következő diákgenerációra. [KITÖLTENDŐ: egy dátumozott hivatkozás arra, melyik nemzetközi oktatási termék jelent meg és mikor, hogy az időzítési érv ellenőrizhető legyen]</w:t>
      </w:r>
    </w:p>
    <w:p>
      <w:pPr>
        <w:pStyle w:val="Heading2"/>
        <w:spacing w:after="160" w:before="320"/>
      </w:pPr>
      <w:r>
        <w:t xml:space="preserve">Mit javasolunk</w:t>
      </w:r>
    </w:p>
    <w:p>
      <w:pPr>
        <w:spacing w:after="140"/>
        <w:jc w:val="both"/>
      </w:pPr>
      <w:r>
        <w:t xml:space="preserve">Az „alapértelmezetten nyílt" elv beiktatását a közadatok újrahasznosításáról szóló 2012. évi LXIII. törvénybe, vagyis hogy a közfeladat ellátása körében előállított adatot nyílt licenc alatt, díjmentesen, gépi olvasható formátumban és lehetőség szerint programozói felületen kelljen közzétenni, a megtagadást pedig írásban, konkrét jogalapra hivatkozva és a központi katalógusban rögzítve.</w:t>
      </w:r>
    </w:p>
    <w:p>
      <w:pPr>
        <w:spacing w:after="140"/>
        <w:jc w:val="both"/>
      </w:pPr>
      <w:r>
        <w:t xml:space="preserve">Annak kimondását, hogy a szerzői jog vagy az adatbázis-előállítói jog önmagában nem szolgálhat a megtagadás jogalapjául, ha az adatot közfeladat ellátása körében, közpénzből állították elő.</w:t>
      </w:r>
    </w:p>
    <w:p>
      <w:pPr>
        <w:spacing w:after="140"/>
        <w:jc w:val="both"/>
      </w:pPr>
      <w:r>
        <w:t xml:space="preserve">Az állami tankönyvkiadás keretében, közpénzből előállított tankönyvek, munkafüzetek, feladatbankok, digitális taneszközök és köznevelési portálon közzétett tartalmak CC BY 4.0 licenc alá helyezését, gépi letöltésre alkalmas formátumban, kifejezetten megengedve a szöveg- és adatbányászatot, valamint a modelltanítást.</w:t>
      </w:r>
    </w:p>
    <w:p>
      <w:pPr>
        <w:spacing w:after="140"/>
        <w:jc w:val="both"/>
      </w:pPr>
      <w:r>
        <w:t xml:space="preserve">A NAT és a kiadott kerettantervek szerkezetének, tanulási eredményeinek és követelményeinek strukturált, gépi olvasható közzétételét, ami lehetővé teszi, hogy egy oktatási alkalmazás automatikusan tanterv-konform legyen.</w:t>
      </w:r>
    </w:p>
    <w:p>
      <w:pPr>
        <w:spacing w:after="140"/>
        <w:jc w:val="both"/>
      </w:pPr>
      <w:r>
        <w:t xml:space="preserve">Központi Adat- és API-katalógust, benne „AI-ready" adatszegmenssel, amelynél kötelező az adat eredetének és feldolgozási történetének dokumentálása, valamint a minőségi és megbízhatósági információk közlése. A minősítés nem azt tanúsítja, hogy az adatkészlet hibamentes; azt tanúsítja, hogy a korlátai dokumentáltak.</w:t>
      </w:r>
    </w:p>
    <w:p>
      <w:pPr>
        <w:pStyle w:val="Heading2"/>
        <w:spacing w:after="160" w:before="320"/>
      </w:pPr>
      <w:r>
        <w:t xml:space="preserve">Amit a javaslat nem kér</w:t>
      </w:r>
    </w:p>
    <w:p>
      <w:pPr>
        <w:spacing w:after="140"/>
        <w:jc w:val="both"/>
      </w:pPr>
      <w:r>
        <w:t xml:space="preserve">[KITÖLTENDŐ — az eredeti anyagban nincs ilyen szakasz. Az alábbi három elem a szövegből következik, és érdemes kimondani:]</w:t>
      </w:r>
    </w:p>
    <w:p>
      <w:pPr>
        <w:spacing w:after="140"/>
        <w:jc w:val="both"/>
      </w:pPr>
      <w:r>
        <w:t xml:space="preserve">A javaslat nem sajátítja ki külső jogosultak jogait. Ahol a vagyoni jogok nem teljes egészében az államot illetik, ott új szerződéseknél a nyílt licencet lehetővé tevő felhasználási jog megszerzését írja elő, a meglévő állományra pedig jogtisztázási és jogdíj-megváltási programot javasol.</w:t>
      </w:r>
    </w:p>
    <w:p>
      <w:pPr>
        <w:spacing w:after="140"/>
        <w:jc w:val="both"/>
      </w:pPr>
      <w:r>
        <w:t xml:space="preserve">A javaslat nem a NAT szövegére kér licencet, mert az eleve nem áll szerzői jogi védelem alatt; ott gépi olvasható közzétételre van szükség.</w:t>
      </w:r>
    </w:p>
    <w:p>
      <w:pPr>
        <w:spacing w:after="140"/>
        <w:jc w:val="both"/>
      </w:pPr>
      <w:r>
        <w:t xml:space="preserve">A javaslat nem javasolja a CC0 közkincs-nyilatkozatot a szerzői művekre, mert a személyhez fűződő jogokról a magyar jog szerint érvényesen nem lehet lemondani.</w:t>
      </w:r>
    </w:p>
    <w:p>
      <w:pPr>
        <w:pStyle w:val="Heading2"/>
        <w:spacing w:after="160" w:before="320"/>
      </w:pPr>
      <w:r>
        <w:t xml:space="preserve">Mit hozhat</w:t>
      </w:r>
    </w:p>
    <w:p>
      <w:pPr>
        <w:spacing w:after="140"/>
        <w:jc w:val="both"/>
      </w:pPr>
      <w:r>
        <w:t xml:space="preserve">A tananyag-sáv jogi döntés, ezért külön infrastruktúra nélkül, gyorsan lezárható: a licencre állítás után azonnal elindulhat a hazai fejlesztés magyar tantervi tartalomra. Hosszabb távon a magyar nyelvű, magyar tantervi valóságra épülő, jogilag tiszta tanítóadat olyan erőforrás, amelyet más országból nem lehet megvásárolni.</w:t>
      </w:r>
    </w:p>
    <w:p>
      <w:pPr>
        <w:spacing w:after="140"/>
        <w:jc w:val="both"/>
      </w:pPr>
      <w:r>
        <w:t xml:space="preserve">[KITÖLTENDŐ: az eredeti absztrakt „évi több tíz milliárd forintos hazai értékteremtést" ígér, a szöveg viszont nem vezeti le. Vagy levezetés a bemenetek megnevezésével, vagy a szám elhagyása. Egy alátámasztatlan forintösszeg az egész gazdasági érvelést gyengíti.]</w:t>
      </w:r>
    </w:p>
    <w:p>
      <w:pPr>
        <w:spacing w:after="140"/>
        <w:jc w:val="both"/>
      </w:pPr>
      <w:r>
        <w:t xml:space="preserve">[KITÖLTENDŐ: a 12 cél egyikéhez sincs mérhető célérték és határidő. A munkacsoporti vitához elég volna négy-öt cél dátummal; a többi a várható haszon közé tartozik.]</w:t>
      </w:r>
    </w:p>
    <w:p>
      <w:pPr>
        <w:pStyle w:val="Heading2"/>
        <w:spacing w:after="160" w:before="320"/>
      </w:pPr>
      <w:r>
        <w:t xml:space="preserve">Ütemezés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shd w:fill="E8ED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Határidő</w:t>
            </w:r>
          </w:p>
        </w:tc>
        <w:tc>
          <w:tcPr>
            <w:tcW w:type="dxa" w:w="4513"/>
            <w:shd w:fill="E8ED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Mérföldkő</w:t>
            </w:r>
          </w:p>
        </w:tc>
      </w:tr>
      <w:tr>
        <w:trPr>
          <w:tblHeader w:val="false"/>
        </w:trPr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2026. november 30.</w:t>
            </w:r>
          </w:p>
        </w:tc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Kormányhatározat a tananyag-sávról</w:t>
            </w:r>
          </w:p>
        </w:tc>
      </w:tr>
      <w:tr>
        <w:trPr>
          <w:tblHeader w:val="false"/>
        </w:trPr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2026. december 31.</w:t>
            </w:r>
          </w:p>
        </w:tc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A közadatok újrahasznosításáról szóló törvény módosításának elfogadása</w:t>
            </w:r>
          </w:p>
        </w:tc>
      </w:tr>
      <w:tr>
        <w:trPr>
          <w:tblHeader w:val="false"/>
        </w:trPr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2027. január 1.</w:t>
            </w:r>
          </w:p>
        </w:tc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Minden új állami tananyagfejlesztési szerződés kötelező eleme a nyílt licencet lehetővé tevő felhasználási jog</w:t>
            </w:r>
          </w:p>
        </w:tc>
      </w:tr>
      <w:tr>
        <w:trPr>
          <w:tblHeader w:val="false"/>
        </w:trPr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2027. február 28.</w:t>
            </w:r>
          </w:p>
        </w:tc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Kormányrendelet az Adat- és API-katalógusról</w:t>
            </w:r>
          </w:p>
        </w:tc>
      </w:tr>
      <w:tr>
        <w:trPr>
          <w:tblHeader w:val="false"/>
        </w:trPr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2027. március 31.</w:t>
            </w:r>
          </w:p>
        </w:tc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A katalógus indulása</w:t>
            </w:r>
          </w:p>
        </w:tc>
      </w:tr>
      <w:tr>
        <w:trPr>
          <w:tblHeader w:val="false"/>
        </w:trPr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2028. június 30., majd évente</w:t>
            </w:r>
          </w:p>
        </w:tc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Nyilvános hatásjelentés az adatkészletekről, a letöltési és API-statisztikákról, a nyílt adatra épülő hazai termékekről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after="160" w:before="320"/>
      </w:pPr>
      <w:r>
        <w:t xml:space="preserve">Amit a munkacsoporttól kérünk</w:t>
      </w:r>
    </w:p>
    <w:p>
      <w:pPr>
        <w:spacing w:after="140"/>
        <w:jc w:val="both"/>
      </w:pPr>
      <w:r>
        <w:rPr>
          <w:b/>
          <w:bCs/>
        </w:rPr>
        <w:t xml:space="preserve">Egy csomag vagy kettő.</w:t>
      </w:r>
      <w:r>
        <w:t xml:space="preserve"> Döntsön a munkacsoport arról, hogy a két oktatási anyag egy előterjesztésként, két sávban megy tovább, vagy külön-külön.</w:t>
      </w:r>
    </w:p>
    <w:p>
      <w:pPr>
        <w:spacing w:after="140"/>
        <w:jc w:val="both"/>
      </w:pPr>
      <w:r>
        <w:rPr>
          <w:b/>
          <w:bCs/>
        </w:rPr>
        <w:t xml:space="preserve">A hatókör rendezése.</w:t>
      </w:r>
      <w:r>
        <w:t xml:space="preserve"> Az eredeti anyag II. fejezetének 9–23. pontja és a VIII. fejezet 43–50. pontja az általános Közszolgáltatási Adat- és API-keretrendszerről szól: föderáció, technológiasemlegesség, beszállítófüggőség, digitális szuverenitás. Ez a terjedelem mintegy fele, és nem tananyagról szól. Döntsön a munkacsoport arról, hogy ez a blokk a tananyag-anyagban marad, vagy visszakerül a szülődokumentumba.</w:t>
      </w:r>
    </w:p>
    <w:p>
      <w:pPr>
        <w:spacing w:after="140"/>
        <w:jc w:val="both"/>
      </w:pPr>
      <w:r>
        <w:rPr>
          <w:b/>
          <w:bCs/>
        </w:rPr>
        <w:t xml:space="preserve">Egységes álláspont az adatrendeletről.</w:t>
      </w:r>
      <w:r>
        <w:t xml:space="preserve"> Ez az anyag az (EU) 2023/2854 rendeletet a beérő uniós adatjog láncszemeként hozza. A testvéranyag kifejezetten helyesbít: a rendelet II. fejezete összekapcsolt termékekre vonatkozik, a tananyagra és a tanulmányi nyilvántartásra nem, ezért jogpolitikai irányjelző és nem jogalap. Egy csomagban ezt az eltérést egy bíráló megtalálja.</w:t>
      </w:r>
    </w:p>
    <w:p>
      <w:pPr>
        <w:spacing w:after="140"/>
        <w:jc w:val="both"/>
      </w:pPr>
      <w:r>
        <w:rPr>
          <w:b/>
          <w:bCs/>
        </w:rPr>
        <w:t xml:space="preserve">Közös dátumsor.</w:t>
      </w:r>
      <w:r>
        <w:t xml:space="preserve"> A kormányrendelet kihirdetése itt 2027. február 28., a testvéranyagban 2027. március 31.</w:t>
      </w:r>
    </w:p>
    <w:p>
      <w:pPr>
        <w:spacing w:after="140"/>
        <w:jc w:val="both"/>
      </w:pPr>
      <w:r>
        <w:rPr>
          <w:b/>
          <w:bCs/>
        </w:rPr>
        <w:t xml:space="preserve">A jogtisztázás nagyságrendje.</w:t>
      </w:r>
      <w:r>
        <w:t xml:space="preserve"> A meglévő állományra javasolt jogtisztázási és jogdíj-megváltási program az egyetlen pont, ahol a javaslat nem majdnem ingyenes. [KITÖLTENDŐ: hány mű érintett, és milyen nagyságrendű jogdíjról lehet szó]</w:t>
      </w:r>
    </w:p>
    <w:p>
      <w:pPr>
        <w:pStyle w:val="Heading2"/>
        <w:spacing w:after="160" w:before="320"/>
      </w:pPr>
      <w:r>
        <w:t xml:space="preserve">További anyagok</w:t>
      </w:r>
    </w:p>
    <w:p>
      <w:pPr>
        <w:spacing w:after="140"/>
        <w:jc w:val="both"/>
      </w:pPr>
      <w:r>
        <w:t xml:space="preserve">A részletes előterjesztés a fenti állításokat jogforrásokkal és normaszöveggel vezeti végig.</w:t>
      </w:r>
    </w:p>
    <w:p>
      <w:pPr>
        <w:pStyle w:val="Heading2"/>
        <w:spacing w:after="160" w:before="320"/>
      </w:pPr>
      <w:r>
        <w:t xml:space="preserve">Érdekütközés</w:t>
      </w:r>
    </w:p>
    <w:p>
      <w:pPr>
        <w:spacing w:after="140"/>
        <w:jc w:val="both"/>
      </w:pPr>
      <w:r>
        <w:t xml:space="preserve">[KITÖLTENDŐ — ha az előterjesztő bármely érintett szervezethez, kiadóhoz vagy piaci szereplőhöz kötődik, egy mondat ide.]</w:t>
      </w:r>
    </w:p>
    <w:p>
      <w:pPr>
        <w:pStyle w:val="Heading2"/>
        <w:spacing w:after="160" w:before="320"/>
      </w:pPr>
      <w:r>
        <w:t xml:space="preserve">Amit az előterjesztés nem old meg</w:t>
      </w:r>
    </w:p>
    <w:p>
      <w:pPr>
        <w:spacing w:after="140"/>
        <w:jc w:val="both"/>
      </w:pPr>
      <w:r>
        <w:t xml:space="preserve">[KITÖLTENDŐ — az eredeti anyagban nincs ilyen szakasz. A szövegből az alábbiak következnek:]</w:t>
      </w:r>
    </w:p>
    <w:p>
      <w:pPr>
        <w:spacing w:after="140"/>
        <w:jc w:val="both"/>
      </w:pPr>
      <w:r>
        <w:t xml:space="preserve">A jogtisztázási program költsége nincs becsülve. Az NKP-tartalmak és az állami tankönyvi állomány jelenlegi jogi státusza nincs tételesen felmérve, tehát nem tudjuk, hány mű esetében kell külső jogosulttal megállapodni. A katalógust működtető szerv kijelölése nyitott.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rFonts w:ascii="Calibri" w:cs="Calibri" w:eastAsia="Calibri" w:hAnsi="Calibri"/>
      <w:b/>
      <w:bCs/>
      <w:color w:val="1F3864"/>
      <w:sz w:val="40"/>
      <w:szCs w:val="40"/>
    </w:rPr>
  </w:style>
  <w:style w:type="paragraph" w:styleId="Heading1">
    <w:name w:val="Heading 1"/>
    <w:basedOn w:val="Normal"/>
    <w:next w:val="Normal"/>
    <w:qFormat/>
    <w:rPr>
      <w:rFonts w:ascii="Calibri" w:cs="Calibri" w:eastAsia="Calibri" w:hAnsi="Calibri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rPr>
      <w:rFonts w:ascii="Calibri" w:cs="Calibri" w:eastAsia="Calibri" w:hAnsi="Calibri"/>
      <w:b/>
      <w:bCs/>
      <w:color w:val="2E5496"/>
      <w:sz w:val="25"/>
      <w:szCs w:val="25"/>
    </w:rPr>
  </w:style>
  <w:style w:type="paragraph" w:styleId="Heading3">
    <w:name w:val="Heading 3"/>
    <w:basedOn w:val="Normal"/>
    <w:next w:val="Normal"/>
    <w:qFormat/>
    <w:rPr>
      <w:rFonts w:ascii="Calibri" w:cs="Calibri" w:eastAsia="Calibri" w:hAnsi="Calibri"/>
      <w:b/>
      <w:bCs/>
      <w:color w:val="2E5496"/>
      <w:sz w:val="22"/>
      <w:szCs w:val="22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Normal">
    <w:name w:val="Normal"/>
    <w:qFormat/>
    <w:pPr>
      <w:spacing w:after="140" w:line="276"/>
    </w:pPr>
    <w:rPr>
      <w:rFonts w:ascii="Calibri" w:cs="Calibri" w:eastAsia="Calibri" w:hAnsi="Calibri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2026-09-25T12:42:44.005Z</dcterms:created>
  <dcterms:modified xsi:type="dcterms:W3CDTF">2026-09-25T12:42:44.005Z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