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szülőnél és a pedagógusnál egyaránt ugyanaz történik: </w:t>
      </w:r>
      <w:r>
        <w:rPr>
          <w:b/>
          <w:bCs/>
        </w:rPr>
        <w:t xml:space="preserve">az ember az integrációs réteg</w:t>
      </w:r>
      <w:r>
        <w:t xml:space="preserve"> a rendszerek között, ő hordja fejben az információt egyikből a másikba (1.1).</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 javaslattal szembeni ellenérvek többsége nem magát a javaslatot, hanem annak túlfogalmazását szokta célozni.</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w:t>
      </w:r>
    </w:p>
    <w:p>
      <w:pPr>
        <w:pStyle w:val="ListParagraph"/>
        <w:numPr>
          <w:ilvl w:val="0"/>
          <w:numId w:val="1"/>
        </w:numPr>
        <w:spacing w:after="60"/>
      </w:pPr>
      <w:r>
        <w:rPr>
          <w:b/>
          <w:bCs/>
        </w:rPr>
        <w:t xml:space="preserve">Nem állítjuk, hogy a javasolt jogosultság a hatályos jogból levezethető.</w:t>
      </w:r>
      <w:r>
        <w:t xml:space="preserve"> Amit javaslunk, </w:t>
      </w:r>
      <w:r>
        <w:rPr>
          <w:b/>
          <w:bCs/>
        </w:rPr>
        <w:t xml:space="preserve">új ágazati jogosultság</w:t>
      </w:r>
      <w:r>
        <w:t xml:space="preserve"> (3.1–3.2). Ezt vállaljuk, nem álcázzuk meglévő jog technikai megvalósításának. Az MI-rendelet és az adatrendelet irányjelző, nem jogalap (3.4–3.5).</w:t>
      </w:r>
    </w:p>
    <w:p>
      <w:pPr>
        <w:pStyle w:val="ListParagraph"/>
        <w:numPr>
          <w:ilvl w:val="0"/>
          <w:numId w:val="1"/>
        </w:numPr>
        <w:spacing w:after="60"/>
      </w:pPr>
      <w:r>
        <w:rPr>
          <w:b/>
          <w:bCs/>
        </w:rPr>
        <w:t xml:space="preserve">Nem javasoljuk, hogy ellenőrzés nélkül regisztrált szoftver írási műveletet végezhessen</w:t>
      </w:r>
      <w:r>
        <w:t xml:space="preserve">, sem azt, hogy a pedagógus saját elhatározásából engedhesse át szoftvernek a munkaköri jogosultságát.</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megvan; a csatorna hiányzik</w:t>
      </w:r>
    </w:p>
    <w:p>
      <w:pPr>
        <w:spacing w:after="140"/>
        <w:jc w:val="both"/>
      </w:pPr>
      <w:r>
        <w:t xml:space="preserve">A szülő ma belép a KRÉTA-ba, és látja a gyermeke jegyeit, hiányzásait, órarendjét, számonkéréseit. A tanuló ugyanezt a sajátjára, a hallgató a Neptunban a vizsgáit. Ez a hozzáférés </w:t>
      </w:r>
      <w:r>
        <w:rPr>
          <w:b/>
          <w:bCs/>
        </w:rPr>
        <w:t xml:space="preserve">létezik, jogszerű és megszokott</w:t>
      </w:r>
      <w:r>
        <w:t xml:space="preserve">; egyetlen korlátja, hogy kizárólag az üzemeltető által kiadott alkalmazáson keresztül gyakorolható. A jogosult felhasználó hozzáférésének ténye önmagában nem indokolja ezt a kizárólagosságot. A korlát oka technikai: a belépési rendszer nem teszi lehetővé, hogy harmadik fél szoftvere a felhasználó engedélyével kapcsolódjon.</w:t>
      </w:r>
    </w:p>
    <w:p>
      <w:pPr>
        <w:spacing w:after="140"/>
        <w:jc w:val="both"/>
      </w:pPr>
      <w:r>
        <w:t xml:space="preserve">Ebből következik, hogy 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 A leggyakoribb félreértés az, hogy „megnyitjuk a KRÉTA-t”. A KRÉTA ma is nyitva van a jogosult felhasználó felé, egyetlen csatornán; a javaslat a csatornát teszi választhatóvá, és cserébe </w:t>
      </w:r>
      <w:r>
        <w:rPr>
          <w:b/>
          <w:bCs/>
        </w:rPr>
        <w:t xml:space="preserve">láthatóvá és visszavonhatóvá</w:t>
      </w:r>
      <w:r>
        <w:t xml:space="preserve">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Egyetlen elvként összefoglalni őket — „aki hozzáfér, ugyanazt tehesse a saját eszközével is” — azért hibás, mert a legvédhetőbb esetre szabott indokolás így a legkockázatosabbat is igazolni látszik. A három esetet ezért végig külön kezeljük, a normaszövegben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irányjelző, nem jogalap</w:t>
      </w:r>
    </w:p>
    <w:p>
      <w:pPr>
        <w:spacing w:after="140"/>
        <w:jc w:val="both"/>
      </w:pPr>
      <w:r>
        <w:t xml:space="preserve">Az </w:t>
      </w:r>
      <w:r>
        <w:rPr>
          <w:b/>
          <w:bCs/>
        </w:rPr>
        <w:t xml:space="preserve">(EU) 2023/2854 rendelet</w:t>
      </w:r>
      <w:r>
        <w:t xml:space="preserve"> (adatrendelet) kézenfekvő hivatkozásnak tűnik, de jogalapként nem állja meg a helyét.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w:t>
      </w:r>
      <w:r>
        <w:rPr>
          <w:b/>
          <w:bCs/>
        </w:rPr>
        <w:t xml:space="preserve">Az MI-rendelet önmagában nem alapoz meg API-nyitási kötelezettséget; a pedagógusi oldal indoka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PSD2-ben a harmadik fél szolgáltatók </w:t>
      </w:r>
      <w:r>
        <w:rPr>
          <w:b/>
          <w:bCs/>
        </w:rPr>
        <w:t xml:space="preserve">engedélyezett, felügyelt szereplők</w:t>
      </w:r>
      <w:r>
        <w:t xml:space="preserve">, és a rendszer minősített tanúsítványokra épít. Egy „egyedi engedélyezési eljárás nélküli” kliensregisztráció tehát éppen a példa legfontosabb elemét hagyná ki: a </w:t>
      </w:r>
      <w:r>
        <w:rPr>
          <w:b/>
          <w:bCs/>
        </w:rPr>
        <w:t xml:space="preserve">bizalmi keretet</w:t>
      </w:r>
      <w:r>
        <w:t xml:space="preserve">. 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a nevében belépni, és a belépési tokeneket maga tárolni;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hívásokat lakossági hálózaton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rPr>
          <w:b/>
          <w:bCs/>
        </w:rPr>
        <w:t xml:space="preserve">A zártság tehát nem az ellenőrizetlen használatot akadályozza, hanem az ellenőrzöttet</w:t>
      </w:r>
      <w:r>
        <w:t xml:space="preserve"> (bővebben 10.3). Arról viszont, hogy ez a gyakorlat milyen gyakori, nincs hazai mérés — és éppen ez a kár egyik formája: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 adminisztrációnak azt a részét jelöli, amely egyáltalán kötődik tanulmányi rendszerből származó adathoz; az </w:t>
      </w:r>
      <w:r>
        <w:rPr>
          <w:b/>
          <w:bCs/>
        </w:rPr>
        <w:t xml:space="preserve">időnyereség</w:t>
      </w:r>
      <w:r>
        <w:t xml:space="preserve"> azt, hogy ezen belül mennyit rövidít az integrált MI —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forintosítunk.</w:t>
      </w:r>
      <w:r>
        <w:t xml:space="preserve"> A felszabaduló időt szándékosan nem fejezzük ki bérértéken.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védhetőbb állítás bármely forintösszegnél,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spacing w:after="140"/>
        <w:jc w:val="both"/>
      </w:pPr>
      <w:r>
        <w:t xml:space="preserve">A bizalmi szint azt szabályozza, ki kapcsolódhat, nem azt, hogy a felhasználó jól dönt-e. A 8.2 szerinti tájékoztatás a döntést jobbá teszi, de nem veszi el.</w:t>
      </w:r>
    </w:p>
    <w:p>
      <w:pPr>
        <w:spacing w:after="140"/>
        <w:jc w:val="both"/>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felhasználó jogosultsága nem változik: a szülő ma is látja a gyermeke jegyeit, és ezután is ugyanazokat fogja látni. Az új kockázat abból fakad, hogy rajta kívül </w:t>
      </w:r>
      <w:r>
        <w:rPr>
          <w:b/>
          <w:bCs/>
        </w:rPr>
        <w:t xml:space="preserve">a felhatalmazott szoftver is hozzáfér</w:t>
      </w:r>
      <w:r>
        <w:t xml:space="preserve"> ehhez az adathoz, majd azt tovább kezeli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elemeket</w:t>
      </w:r>
      <w:r>
        <w:t xml:space="preserve"> — az átadott és az át nem adott adatkörtől a továbbítás címzettjén, az Unión kívülre kerülésen, a tárolási időn és a modellfejlesztési felhasználáson át a visszavonás következményéig — a normaszöveg tételesen felsorolja (12./I. B) § (1) bekezdés a)–h) pont). A rendeletnek a tartalmat kell előírnia, nem a szövegezést.</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rPr>
          <w:b/>
          <w:bCs/>
        </w:rPr>
        <w:t xml:space="preserve">A „korlátozott továbbítású adatkör” ennek a javaslatnak a saját szabályozási kategóriája</w:t>
      </w:r>
      <w:r>
        <w:t xml:space="preserve">, nem a hatályos adatvédelmi jog terminusa. Teljes alakja: a delegált továbbítás szempontjából fokozott védelem alá sorolt adatkör. A besorolás nem az adat jogi minősítését változtatja meg, hanem azt mondja meg, mi mehet ki a delegált csatornán.</w:t>
      </w:r>
    </w:p>
    <w:p>
      <w:pPr>
        <w:spacing w:after="140"/>
        <w:jc w:val="both"/>
      </w:pPr>
      <w:r>
        <w:t xml:space="preserve">Ebből következik a legfontosabb pontosítás: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korlátozott továbbítású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az adatkörök tételes, mezőszintű besorolását, és annak eldöntését, hogy egy MI-szolgáltató mit tehet a kapott adattal a saját rendszerén belül. Mindkettő a 14. fejezet nyitott kérdése.</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és a felhatalmazott szoftver önálló adatkezelői felelőssége elválik.</w:t>
      </w:r>
      <w:r>
        <w:t xml:space="preserve"> Az üzemeltető nem felel a felhatalmazott szoftvernek szabályszerűen átadott adat ezt követő, önálló adatkezelőként végzett kezeléséért.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(6.4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10.3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9. fejezet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de új kliensregisztrációs, felhatalmazás-kezelési, dokumentációs, biztonsági és üzemeltetési képességeket igényel — köztük kérésszám-korlátozást, visszaélés-felismerést, felügyeletet, tesztkörnyezet-fenntartást és fejlesztői támogatást. Ezek ráfordítását a 14. fejezet nyitott kérdésként kezeli.</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7.1 pont szerinti három bizalmi szintet állapítja meg, szintenként meghatározva a regisztráció módját, a kliens hitelesítésének követelményeit és az elérhető funkciókört. Az 1. szintre a dinamikus kliensregisztráció (RFC 7591) egyedi engedélyezési eljárás nélkül érvényes; a 3.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de a besorolás elvégzése önálló, jelentős szakmai munka.</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2026-09-16T18:08:23.769Z</dcterms:created>
  <dcterms:modified xsi:type="dcterms:W3CDTF">2026-09-16T18:08:23.769Z</dcterms:modified>
</cp:coreProperties>
</file>

<file path=docProps/custom.xml><?xml version="1.0" encoding="utf-8"?>
<Properties xmlns="http://schemas.openxmlformats.org/officeDocument/2006/custom-properties" xmlns:vt="http://schemas.openxmlformats.org/officeDocument/2006/docPropsVTypes"/>
</file>