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spacing w:after="140"/>
        <w:jc w:val="both"/>
      </w:pPr>
      <w:r>
        <w:rPr>
          <w:b/>
          <w:bCs/>
        </w:rPr>
        <w:t xml:space="preserve">2.2 változat.</w:t>
      </w:r>
      <w:r>
        <w:t xml:space="preserve"> A javaslat nem adatnyitást kér, hanem a ma is meglévő hozzáférés kontrollált delegálását, és a kiinduló problémát sem MI-integrációs hiányként írja le, hanem a mindennapi digitális élet széttöredezettségeként — a szülő és a pedagógus oldalán egyaránt. Külön fejezet szól arról, mi történik az adattal a kiadás után, és arról, milyen adatkör vihető egyáltalán tovább külső szolgáltatóhoz. A pedagógusi rész szakpolitikai érvre épül, nem az MI-rendeletből levezetett jogi érvre. A hatásbecslés szűkebb pedagóguskörrel, két külön paraméterrel és példaszámításként szerepel, forintosítás nélkül, és a javaslat pilot-mérést ír elő.</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probléma nem az, hogy nincs elég iskolai alkalmazás. Az, hogy túl sok van — és egyik sem tud együttműködni azzal az eszközzel, amit a felhasználó már használ.</w:t>
      </w:r>
      <w:r>
        <w:t xml:space="preserve"> A szülőnek ma külön alkalmazása van a munkahelyéhez, a bankjához, a parkoláshoz, az egészségügyi időpontokhoz, a háztartási gépeihez; ezek mellé jön az iskolai, két gyerek esetén nem is egy. A pedagógusnak külön rendszerben van a napló, a kommunikáció, az órarend, a tananyag és az értékelés. Mindkettőjüknél ugyanaz történik: </w:t>
      </w:r>
      <w:r>
        <w:rPr>
          <w:b/>
          <w:bCs/>
        </w:rPr>
        <w:t xml:space="preserve">az ember az integrációs réteg</w:t>
      </w:r>
      <w:r>
        <w:t xml:space="preserve"> a rendszerek között, ő hordja fejben az információt egyikből a másikba.</w:t>
      </w:r>
    </w:p>
    <w:p>
      <w:pPr>
        <w:spacing w:after="140"/>
        <w:jc w:val="both"/>
      </w:pPr>
      <w:r>
        <w:rPr>
          <w:b/>
          <w:bCs/>
        </w:rPr>
        <w:t xml:space="preserve">Nem még egy oktatási appra van szükség.</w:t>
      </w:r>
      <w:r>
        <w:t xml:space="preserve"> Arra van szükség, hogy a felhasználó a saját digitális eszközén keresztül használhassa azt az adatot, amihez amúgy is hozzáfér.</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valódi új kockázat nem a hozzáférés, hanem a felhasználás.</w:t>
      </w:r>
      <w:r>
        <w:t xml:space="preserve"> Aki ma a KRÉTA-ban látja a gyermeke jegyeit, holnap is ugyanazokat fogja látni. Ami új, az az, hogy egy program is megkapja őket, és azokkal kezd valamit: továbbküldheti egy MI-szolgáltatónak, tárolhatja, esetleg az Unión kívülre viheti. A javaslat súlypontja ezért a felhasználás szabályozásán van, nem a hozzáférésén.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az 1.0 változat ellenérveinek többsége nem a javaslatot, hanem a javaslat túlfogalmazását támadta.</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 nem jogi minősítés.</w:t>
      </w:r>
    </w:p>
    <w:p>
      <w:pPr>
        <w:pStyle w:val="ListParagraph"/>
        <w:numPr>
          <w:ilvl w:val="0"/>
          <w:numId w:val="1"/>
        </w:numPr>
        <w:spacing w:after="60"/>
      </w:pPr>
      <w:r>
        <w:rPr>
          <w:b/>
          <w:bCs/>
        </w:rPr>
        <w:t xml:space="preserve">Nem állítjuk, hogy a javasolt jogosultság a hatályos jogból levezethető.</w:t>
      </w:r>
      <w:r>
        <w:t xml:space="preserve"> A GDPR 20. cikke szerinti adathordozhatóság a közérdekű feladat végrehajtásához szükséges adatkezelésre — így az oktatási nyilvántartásokra — a 20. cikk (3) bekezdése alapján nem alkalmazandó. A 15. cikk szerinti hozzáférési jog egyszeri másolatra szól, nem folyamatos gépi hozzáférésre. Amit javaslunk, </w:t>
      </w:r>
      <w:r>
        <w:rPr>
          <w:b/>
          <w:bCs/>
        </w:rPr>
        <w:t xml:space="preserve">új ágazati jogosultság</w:t>
      </w:r>
      <w:r>
        <w:t xml:space="preserve">. Ezt vállaljuk, nem álcázzuk meglévő jog technikai megvalósításának.</w:t>
      </w:r>
    </w:p>
    <w:p>
      <w:pPr>
        <w:pStyle w:val="ListParagraph"/>
        <w:numPr>
          <w:ilvl w:val="0"/>
          <w:numId w:val="1"/>
        </w:numPr>
        <w:spacing w:after="60"/>
      </w:pPr>
      <w:r>
        <w:rPr>
          <w:b/>
          <w:bCs/>
        </w:rPr>
        <w:t xml:space="preserve">Nem állítjuk, hogy az MI-rendelet vagy az adatrendelet kötelezné az üzemeltetőt felület nyitására.</w:t>
      </w:r>
      <w:r>
        <w:t xml:space="preserve"> Ezeket irányjelzőként hívjuk fel, nem jogalapként.</w:t>
      </w:r>
    </w:p>
    <w:p>
      <w:pPr>
        <w:pStyle w:val="ListParagraph"/>
        <w:numPr>
          <w:ilvl w:val="0"/>
          <w:numId w:val="1"/>
        </w:numPr>
        <w:spacing w:after="60"/>
      </w:pPr>
      <w:r>
        <w:rPr>
          <w:b/>
          <w:bCs/>
        </w:rPr>
        <w:t xml:space="preserve">Nem javasoljuk, hogy ellenőrzés nélkül regisztrált szoftver írási műveletet végezhessen az oktatási nyilvántartásban.</w:t>
      </w:r>
    </w:p>
    <w:p>
      <w:pPr>
        <w:pStyle w:val="ListParagraph"/>
        <w:numPr>
          <w:ilvl w:val="0"/>
          <w:numId w:val="1"/>
        </w:numPr>
        <w:spacing w:after="60"/>
      </w:pPr>
      <w:r>
        <w:rPr>
          <w:b/>
          <w:bCs/>
        </w:rPr>
        <w:t xml:space="preserve">Nem javasoljuk, hogy a pedagógus saját elhatározásából szoftvernek engedhesse át a munkaköri jogosultságát.</w:t>
      </w:r>
      <w:r>
        <w:t xml:space="preserve"> A tanári oldalon a felhatalmazás az adatkezelő intézmény döntése.</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Bdr>
          <w:bottom w:val="single" w:color="B0B8C4" w:sz="6"/>
        </w:pBdr>
        <w:spacing w:after="200" w:before="200"/>
      </w:pPr>
      <w:r>
        <w:t xml:space="preserve"/>
      </w:r>
    </w:p>
    <w:p>
      <w:pPr>
        <w:pStyle w:val="Heading1"/>
        <w:spacing w:after="160" w:before="320"/>
      </w:pPr>
      <w:r>
        <w:t xml:space="preserve">1. Mit javasolunk — és mit nem</w:t>
      </w:r>
    </w:p>
    <w:p>
      <w:pPr>
        <w:pStyle w:val="Heading2"/>
        <w:spacing w:after="160" w:before="320"/>
      </w:pPr>
      <w:r>
        <w:t xml:space="preserve">1.1 A probléma nem az appok hiánya, hanem a széttöredezettség</w:t>
      </w:r>
    </w:p>
    <w:p>
      <w:pPr>
        <w:spacing w:after="140"/>
        <w:jc w:val="both"/>
      </w:pPr>
      <w:r>
        <w:t xml:space="preserve">Az előterjesztést könnyű félreérteni úgy, hogy „hiányzik az MI-integráció az oktatásból”. A hiány valódi, de nem ez a probléma gyökere. A gyökér az, hogy a felhasználó digitális élete rendszerekre van szabdalva, és a rendszerek közti átjárást neki magának kell elvégeznie.</w:t>
      </w:r>
    </w:p>
    <w:p>
      <w:pPr>
        <w:spacing w:after="140"/>
        <w:jc w:val="both"/>
      </w:pPr>
      <w:r>
        <w:rPr>
          <w:b/>
          <w:bCs/>
        </w:rPr>
        <w:t xml:space="preserve">A szülő oldalán</w:t>
      </w:r>
      <w:r>
        <w:t xml:space="preserve"> ez így néz ki. Külön alkalmazás a munkahelyi levelezéshez, külön a bankhoz, a parkoláshoz, az egészségügyi időpontokhoz, a közműszámlákhoz, a háztartási gépekhez, a tévéhez, az okosotthonhoz. Ezek mellé jön az iskolai alkalmazás — és ha két gyerek van, akkor több fiók, több felület, több értesítés és több napi rutin. A szülő nem még egy alkalmazást akar használni. Azt szeretné, hogy a már használt eszközében feltehessen egy kérdést:</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rPr>
          <w:b/>
          <w:bCs/>
        </w:rPr>
        <w:t xml:space="preserve">A pedagógus oldalán</w:t>
      </w:r>
      <w:r>
        <w:t xml:space="preserve"> ugyanez a probléma, más szerepben. A napló az egyik rendszerben van, a kommunikáció a másikban, az órarend a harmadikban, a tananyag és a beadandók egy tanulásszervezési rendszerben, emellett e-mail, megosztott dokumentumok és belső intézményi felületek. A pedagógus ugyanúgy az integrációs réteg: megnézi az egyikben, mit lát, és átviszi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rPr>
          <w:b/>
          <w:bCs/>
        </w:rPr>
        <w:t xml:space="preserve">Miért nem a jobb KRÉTA-app a válasz.</w:t>
      </w:r>
      <w:r>
        <w:t xml:space="preserve"> Egy szebb, gyorsabb, okosabb hivatalos alkalmazás ezt nem oldja meg. Akármilyen jó, továbbra is </w:t>
      </w:r>
      <w:r>
        <w:rPr>
          <w:b/>
          <w:bCs/>
        </w:rPr>
        <w:t xml:space="preserve">egy újabb felület</w:t>
      </w:r>
      <w:r>
        <w:t xml:space="preserve">, amelyet meg kell nyitni, amelyben külön kell keresni, és amely nem tud mit kezdeni azzal, hogy a szülőnek két gyereke van két iskolában, vagy hogy a pedagógus a leveleit máshol olvassa. A „még egy app” logika minden újabb körrel súlyosbítja azt a problémát, amelyet enyhíteni akar.</w:t>
      </w:r>
    </w:p>
    <w:p>
      <w:pPr>
        <w:spacing w:after="140"/>
        <w:jc w:val="both"/>
      </w:pPr>
      <w:r>
        <w:t xml:space="preserve">A cél tehát nem az, hogy legyen egy jobb KRÉTA-app, hanem hogy </w:t>
      </w:r>
      <w:r>
        <w:rPr>
          <w:b/>
          <w:bCs/>
        </w:rPr>
        <w:t xml:space="preserve">a KRÉTA-adat ne legyen egyetlen felületbe bezárva</w:t>
      </w:r>
      <w:r>
        <w:t xml:space="preserve">.</w:t>
      </w:r>
    </w:p>
    <w:p>
      <w:pPr>
        <w:spacing w:after="140"/>
        <w:jc w:val="both"/>
      </w:pPr>
      <w:r>
        <w:rPr>
          <w:b/>
          <w:bCs/>
        </w:rPr>
        <w:t xml:space="preserve">Az elv egy mondatban:</w:t>
      </w:r>
      <w:r>
        <w:t xml:space="preserve"> ne az ember legyen az integrációs réteg a rendszerek között.</w:t>
      </w:r>
    </w:p>
    <w:p>
      <w:pPr>
        <w:pStyle w:val="Heading2"/>
        <w:spacing w:after="160" w:before="320"/>
      </w:pPr>
      <w:r>
        <w:t xml:space="preserve">1.2 A hozzáférés ma is megvan, csak egyetlen csatornán</w:t>
      </w:r>
    </w:p>
    <w:p>
      <w:pPr>
        <w:spacing w:after="140"/>
        <w:jc w:val="both"/>
      </w:pPr>
      <w:r>
        <w:t xml:space="preserve">A szülő ma belép a KRÉTA-ba, és látja a gyermeke jegyeit, hiányzásait, órarendjét, számonkéréseit. A tanuló ugyanezt a sajátjára. A hallgató a Neptunban a vizsgáit és határidőit. Ez a hozzáférés </w:t>
      </w:r>
      <w:r>
        <w:rPr>
          <w:b/>
          <w:bCs/>
        </w:rPr>
        <w:t xml:space="preserve">létezik, jogszerű és megszokott</w:t>
      </w:r>
      <w:r>
        <w:t xml:space="preserve">. Egyetlen korlátja van: kizárólag azon az alkalmazáson keresztül gyakorolható, amelyet az üzemeltető ad ki.</w:t>
      </w:r>
    </w:p>
    <w:p>
      <w:pPr>
        <w:spacing w:after="140"/>
        <w:jc w:val="both"/>
      </w:pPr>
      <w:r>
        <w:t xml:space="preserve">Ez a korlát nem az adatvédelemből következik. Nem azért van, mert a szülő nem láthatná az adatot — hiszen látja. Azért van, mert a belépési rendszer nem teszi lehetővé, hogy harmadik fél szoftvere a felhasználó engedélyével kapcsolódjon.</w:t>
      </w:r>
    </w:p>
    <w:p>
      <w:pPr>
        <w:pStyle w:val="Heading2"/>
        <w:spacing w:after="160" w:before="320"/>
      </w:pPr>
      <w:r>
        <w:t xml:space="preserve">1.3 Ami nem változik: a jogosultsági kör</w:t>
      </w:r>
    </w:p>
    <w:p>
      <w:pPr>
        <w:spacing w:after="140"/>
        <w:jc w:val="both"/>
      </w:pPr>
      <w:r>
        <w:t xml:space="preserve">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w:t>
      </w:r>
    </w:p>
    <w:p>
      <w:pPr>
        <w:spacing w:after="140"/>
        <w:jc w:val="both"/>
      </w:pPr>
      <w:r>
        <w:t xml:space="preserve">Ezt azért hangsúlyozzuk, mert a javaslat leggyakoribb félreértése az, hogy „megnyitjuk a KRÉTA-t”. Nem nyitunk meg semmit. A KRÉTA ma is nyitva van — a jogosult felhasználó felé, egyetlen csatornán. A javaslat a csatornát teszi választhatóvá, és cserébe </w:t>
      </w:r>
      <w:r>
        <w:rPr>
          <w:b/>
          <w:bCs/>
        </w:rPr>
        <w:t xml:space="preserve">láthatóvá és visszavonhatóvá</w:t>
      </w:r>
      <w:r>
        <w:t xml:space="preserve"> teszi azt, ami ma jelszóátadással, láthatatlanul történik.</w:t>
      </w:r>
    </w:p>
    <w:p>
      <w:pPr>
        <w:pStyle w:val="Heading2"/>
        <w:spacing w:after="160" w:before="320"/>
      </w:pPr>
      <w:r>
        <w:t xml:space="preserve">1.4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7. fejezet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8. fejezet</w:t>
            </w:r>
          </w:p>
        </w:tc>
      </w:tr>
    </w:tbl>
    <w:p>
      <w:pPr>
        <w:spacing w:after="160"/>
      </w:pPr>
      <w:r>
        <w:t xml:space="preserve"/>
      </w:r>
    </w:p>
    <w:p>
      <w:pPr>
        <w:spacing w:after="140"/>
        <w:jc w:val="both"/>
      </w:pPr>
      <w:r>
        <w:t xml:space="preserve">Az 1.0 és a 2.0 változat csak az első réteget kezelte. A második réteg nélkül a javaslat a valódi kockázatot hagyná szabályozatlanul.</w:t>
      </w:r>
    </w:p>
    <w:p>
      <w:pPr>
        <w:pBdr>
          <w:bottom w:val="single" w:color="B0B8C4" w:sz="6"/>
        </w:pBdr>
        <w:spacing w:after="200" w:before="200"/>
      </w:pPr>
      <w:r>
        <w:t xml:space="preserve"/>
      </w:r>
    </w:p>
    <w:p>
      <w:pPr>
        <w:pStyle w:val="Heading1"/>
        <w:spacing w:after="160" w:before="320"/>
      </w:pPr>
      <w:r>
        <w:t xml:space="preserve">2. Három külön kérdés — három külön szabály</w:t>
      </w:r>
    </w:p>
    <w:p>
      <w:pPr>
        <w:spacing w:after="140"/>
        <w:jc w:val="both"/>
      </w:pPr>
      <w:r>
        <w:t xml:space="preserve">A javaslat három, egymástól élesen elváló helyzetet érint. Az 1.0 változat ezeket egyetlen elvként vezette fel — „aki hozzáfér, ugyanazt tehesse a saját eszközével is” —, és ez volt a szöveg legsúlyosabb szerkezeti hibája: a legvédhetőbb esetre szabott indokolás a legkockázatosabb esetet is igazolni látszott.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pl. 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1. szint</w:t>
            </w:r>
          </w:p>
        </w:tc>
        <w:tc>
          <w:tcPr>
            <w:tcW w:type="dxa" w:w="2256"/>
            <w:tcMar>
              <w:top w:type="dxa" w:w="60"/>
              <w:left w:type="dxa" w:w="100"/>
              <w:bottom w:type="dxa" w:w="60"/>
              <w:right w:type="dxa" w:w="100"/>
            </w:tcMar>
          </w:tcPr>
          <w:p>
            <w:pPr>
              <w:spacing w:after="0" w:before="0"/>
            </w:pPr>
            <w:r>
              <w:rPr>
                <w:sz w:val="18"/>
                <w:szCs w:val="18"/>
              </w:rPr>
              <w:t xml:space="preserve">2. szint</w:t>
            </w:r>
          </w:p>
        </w:tc>
        <w:tc>
          <w:tcPr>
            <w:tcW w:type="dxa" w:w="2258"/>
            <w:tcMar>
              <w:top w:type="dxa" w:w="60"/>
              <w:left w:type="dxa" w:w="100"/>
              <w:bottom w:type="dxa" w:w="60"/>
              <w:right w:type="dxa" w:w="100"/>
            </w:tcMar>
          </w:tcPr>
          <w:p>
            <w:pPr>
              <w:spacing w:after="0" w:before="0"/>
            </w:pPr>
            <w:r>
              <w:rPr>
                <w:sz w:val="18"/>
                <w:szCs w:val="18"/>
              </w:rPr>
              <w:t xml:space="preserve">3. szint</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w:t>
      </w:r>
      <w:r>
        <w:rPr>
          <w:b/>
          <w:bCs/>
        </w:rPr>
        <w:t xml:space="preserve">A)</w:t>
      </w:r>
      <w:r>
        <w:t xml:space="preserve"> eset a legerősebb: az érintett a saját adatát nézi, más jogát nem érinti, és a hozzáférés ma is megvan.</w:t>
      </w:r>
    </w:p>
    <w:p>
      <w:pPr>
        <w:spacing w:after="140"/>
        <w:jc w:val="both"/>
      </w:pPr>
      <w:r>
        <w:t xml:space="preserve">A </w:t>
      </w:r>
      <w:r>
        <w:rPr>
          <w:b/>
          <w:bCs/>
        </w:rPr>
        <w:t xml:space="preserve">B)</w:t>
      </w:r>
      <w:r>
        <w:t xml:space="preserve"> eset már nyilatkozatot hoz létre az érintett nevében, ezért azonosított kiadó kell mögé, de továbbra is az érintett saját ügye.</w:t>
      </w:r>
    </w:p>
    <w:p>
      <w:pPr>
        <w:spacing w:after="140"/>
        <w:jc w:val="both"/>
      </w:pPr>
      <w:r>
        <w:t xml:space="preserve">A </w:t>
      </w:r>
      <w:r>
        <w:rPr>
          <w:b/>
          <w:bCs/>
        </w:rPr>
        <w:t xml:space="preserve">C)</w:t>
      </w:r>
      <w:r>
        <w:t xml:space="preserve"> eset </w:t>
      </w:r>
      <w:r>
        <w:rPr>
          <w:b/>
          <w:bCs/>
        </w:rPr>
        <w:t xml:space="preserve">nem az érintett joga</w:t>
      </w:r>
      <w:r>
        <w:t xml:space="preserve">. A pedagógus nem a saját adatát kezeli, hanem tanulókét, az intézmény utasítására, az intézmény adatkezelői felelőssége mellett. Itt tehát nem „a pedagógus delegálja a jogosultságát”, hanem </w:t>
      </w:r>
      <w:r>
        <w:rPr>
          <w:b/>
          <w:bCs/>
        </w:rPr>
        <w:t xml:space="preserve">az adatkezelő intézmény rendszeresít egy eszközt</w:t>
      </w:r>
      <w:r>
        <w:t xml:space="preserve">, amelyet a pedagógus a saját munkamenetéhez köt.</w:t>
      </w:r>
    </w:p>
    <w:p>
      <w:pPr>
        <w:pBdr>
          <w:bottom w:val="single" w:color="B0B8C4" w:sz="6"/>
        </w:pBdr>
        <w:spacing w:after="200" w:before="200"/>
      </w:pPr>
      <w:r>
        <w:t xml:space="preserve"/>
      </w:r>
    </w:p>
    <w:p>
      <w:pPr>
        <w:pStyle w:val="Heading1"/>
        <w:spacing w:after="160" w:before="320"/>
      </w:pPr>
      <w:r>
        <w:t xml:space="preserve">3. A jogi helyzet pontosan</w:t>
      </w:r>
    </w:p>
    <w:p>
      <w:pPr>
        <w:pStyle w:val="Heading2"/>
        <w:spacing w:after="160" w:before="320"/>
      </w:pPr>
      <w:r>
        <w:t xml:space="preserve">3.1 Amit a hatályos jog ad</w:t>
      </w:r>
    </w:p>
    <w:p>
      <w:pPr>
        <w:pStyle w:val="ListParagraph"/>
        <w:numPr>
          <w:ilvl w:val="0"/>
          <w:numId w:val="1"/>
        </w:numPr>
        <w:spacing w:after="60"/>
      </w:pPr>
      <w:r>
        <w:rPr>
          <w:b/>
          <w:bCs/>
        </w:rPr>
        <w:t xml:space="preserve">GDPR 15. cikk</w:t>
      </w:r>
      <w:r>
        <w:t xml:space="preserve"> — hozzáférési jog. Egyszeri másolatra szól, nem folyamatos gépi hozzáférésre.</w:t>
      </w:r>
    </w:p>
    <w:p>
      <w:pPr>
        <w:pStyle w:val="ListParagraph"/>
        <w:numPr>
          <w:ilvl w:val="0"/>
          <w:numId w:val="1"/>
        </w:numPr>
        <w:spacing w:after="60"/>
      </w:pPr>
      <w:r>
        <w:rPr>
          <w:b/>
          <w:bCs/>
        </w:rPr>
        <w:t xml:space="preserve">GDPR (63) preambulumbekezdés</w:t>
      </w:r>
      <w:r>
        <w:t xml:space="preserve"> — ahol lehetséges, az adatkezelő biztosítson távoli hozzáférést olyan biztonságos rendszerhez, amely az érintettnek közvetlen hozzáférést ad a saját adataihoz. Ez </w:t>
      </w:r>
      <w:r>
        <w:rPr>
          <w:b/>
          <w:bCs/>
        </w:rPr>
        <w:t xml:space="preserve">támogató érv</w:t>
      </w:r>
      <w:r>
        <w:t xml:space="preserve"> az A) esethez, de preambulumbekezdés: nem kötelező szabály, és nem ír elő programozói felületet.</w:t>
      </w:r>
    </w:p>
    <w:p>
      <w:pPr>
        <w:pStyle w:val="ListParagraph"/>
        <w:numPr>
          <w:ilvl w:val="0"/>
          <w:numId w:val="1"/>
        </w:numPr>
        <w:spacing w:after="60"/>
      </w:pPr>
      <w:r>
        <w:rPr>
          <w:b/>
          <w:bCs/>
        </w:rPr>
        <w:t xml:space="preserve">GDPR 12. cikk (2) bekezdés</w:t>
      </w:r>
      <w:r>
        <w:t xml:space="preserve"> — az adatkezelő köteles elősegíteni az érintetti jogok gyakorlását.</w:t>
      </w:r>
    </w:p>
    <w:p>
      <w:pPr>
        <w:pStyle w:val="Heading2"/>
        <w:spacing w:after="160" w:before="320"/>
      </w:pPr>
      <w:r>
        <w:t xml:space="preserve">3.2 Amit a hatályos jog nem ad</w:t>
      </w:r>
    </w:p>
    <w:p>
      <w:pPr>
        <w:pStyle w:val="ListParagraph"/>
        <w:numPr>
          <w:ilvl w:val="0"/>
          <w:numId w:val="1"/>
        </w:numPr>
        <w:spacing w:after="60"/>
      </w:pPr>
      <w:r>
        <w:rPr>
          <w:b/>
          <w:bCs/>
        </w:rPr>
        <w:t xml:space="preserve">GDPR 20. cikk</w:t>
      </w:r>
      <w:r>
        <w:t xml:space="preserve"> — az adathordozhatóság a hozzájáruláson vagy szerződésen alapuló, automatizált adatkezelésre vonatkozik. A 20. cikk (3) bekezdése a közérdekű vagy közhatalmi feladat végrehajtása keretében végzett adatkezelést kifejezetten kiveszi. Az oktatási nyilvántartás ilyen. </w:t>
      </w:r>
      <w:r>
        <w:rPr>
          <w:b/>
          <w:bCs/>
        </w:rPr>
        <w:t xml:space="preserve">A 20. cikk tehát itt nem hívható fel.</w:t>
      </w:r>
    </w:p>
    <w:p>
      <w:pPr>
        <w:pStyle w:val="ListParagraph"/>
        <w:numPr>
          <w:ilvl w:val="0"/>
          <w:numId w:val="1"/>
        </w:numPr>
        <w:spacing w:after="60"/>
      </w:pPr>
      <w:r>
        <w:rPr>
          <w:b/>
          <w:bCs/>
        </w:rPr>
        <w:t xml:space="preserve">GDPR 20. cikk (4) bekezdés</w:t>
      </w:r>
      <w:r>
        <w:t xml:space="preserve"> — az adathordozhatóság nem sértheti mások jogait és szabadságait. Ez a korlát a mi javaslatunkra is irányadó elvi mérce; a vegyes adatkörök kezelésének kiindulópontja (lásd 8.3).</w:t>
      </w:r>
    </w:p>
    <w:p>
      <w:pPr>
        <w:pStyle w:val="ListParagraph"/>
        <w:numPr>
          <w:ilvl w:val="0"/>
          <w:numId w:val="1"/>
        </w:numPr>
        <w:spacing w:after="60"/>
      </w:pPr>
      <w:r>
        <w:rPr>
          <w:b/>
          <w:bCs/>
        </w:rPr>
        <w:t xml:space="preserve">Nkt. és Nftv.</w:t>
      </w:r>
      <w:r>
        <w:t xml:space="preserve"> — a 2011. évi CXC. és CCIV. törvény rendezi az oktatási adatkezelést és nyilvántartásokat, de egyik sem tartalmaz rendelkezést arról, hogy az érintett a saját adatához az általa választott szoftverrel hozzáférhessen.</w:t>
      </w:r>
    </w:p>
    <w:p>
      <w:pPr>
        <w:spacing w:after="140"/>
        <w:jc w:val="both"/>
      </w:pPr>
      <w:r>
        <w:t xml:space="preserve">Következtetés: </w:t>
      </w:r>
      <w:r>
        <w:rPr>
          <w:b/>
          <w:bCs/>
        </w:rPr>
        <w:t xml:space="preserve">a javasolt jogosultság új.</w:t>
      </w:r>
      <w:r>
        <w:t xml:space="preserve"> Nem a GDPR technikai kivetülése. Ágazati jogalkotás kell hozzá, ahogy az alábbi precedensben is.</w:t>
      </w:r>
    </w:p>
    <w:p>
      <w:pPr>
        <w:pStyle w:val="Heading2"/>
        <w:spacing w:after="160" w:before="320"/>
      </w:pPr>
      <w:r>
        <w:t xml:space="preserve">3.3 A legjobb precedens: az európai egészségügyi adattér</w:t>
      </w:r>
    </w:p>
    <w:p>
      <w:pPr>
        <w:spacing w:after="140"/>
        <w:jc w:val="both"/>
      </w:pPr>
      <w:r>
        <w:t xml:space="preserve">Az </w:t>
      </w:r>
      <w:r>
        <w:rPr>
          <w:b/>
          <w:bCs/>
        </w:rPr>
        <w:t xml:space="preserve">(EU) 2025/327 rendelet</w:t>
      </w:r>
      <w:r>
        <w:t xml:space="preserve"> (európai egészségügyi adattér, EHDS) pontosan azt a konstrukciót valósítja meg, amelyet itt javasolunk: </w:t>
      </w:r>
      <w:r>
        <w:rPr>
          <w:b/>
          <w:bCs/>
        </w:rPr>
        <w:t xml:space="preserve">ágazati uniós jogszabály hoz létre elektronikus hozzáférési jogot olyan adatkörben, ahol maga az adatkezelés közfeladaton alapul</w:t>
      </w:r>
      <w:r>
        <w:t xml:space="preserve">, és az érintett maga adhat hozzáférést az általa választott szereplőnek. A rendelet 3. cikke az érintett elektronikus egészségügyi adataihoz való azonnali, ingyenes elektronikus hozzáférést és letöltést biztosítja. A rendelet 2025. március 25-én lépett hatályba, alkalmazása jellemzően 2027. március 26-tól kezdődik. [ELLENŐRIZENDŐ: a 3. cikk bekezdéseinek pontos hivatkozása a Hivatalos Lap szövege alapján]</w:t>
      </w:r>
    </w:p>
    <w:p>
      <w:pPr>
        <w:spacing w:after="140"/>
        <w:jc w:val="both"/>
      </w:pPr>
      <w:r>
        <w:t xml:space="preserve">Ez az analógia két okból erős: azonos a jogi szerkezet (közfeladaton alapuló nyilvántartás és ágazati hozzáférési jog), és azonos az érzékenységi szint (egészségügyi adat, illetve kiskorúak oktatási adata).</w:t>
      </w:r>
    </w:p>
    <w:p>
      <w:pPr>
        <w:pStyle w:val="Heading2"/>
        <w:spacing w:after="160" w:before="320"/>
      </w:pPr>
      <w:r>
        <w:t xml:space="preserve">3.4 Az adatrendelet — helyesbítés a korábbi változathoz képest</w:t>
      </w:r>
    </w:p>
    <w:p>
      <w:pPr>
        <w:spacing w:after="140"/>
        <w:jc w:val="both"/>
      </w:pPr>
      <w:r>
        <w:t xml:space="preserve">Az 1.0 változat az </w:t>
      </w:r>
      <w:r>
        <w:rPr>
          <w:b/>
          <w:bCs/>
        </w:rPr>
        <w:t xml:space="preserve">(EU) 2023/2854 rendeletet</w:t>
      </w:r>
      <w:r>
        <w:t xml:space="preserve"> (adatrendelet) a jogfejlődés láncszemeként mutatta be. Ez pontatlan volt. A rendelet II. fejezete az </w:t>
      </w:r>
      <w:r>
        <w:rPr>
          <w:b/>
          <w:bCs/>
        </w:rPr>
        <w:t xml:space="preserve">összekapcsolt termékek és a kapcsolódó szolgáltatások</w:t>
      </w:r>
      <w:r>
        <w:t xml:space="preserve"> használata során keletkező adatokra vonatkozik; tipikus tárgya a dologi, érzékelőalapú termékadat. A KRÉTA vagy a Neptun tanulmányi nyilvántartása nem ilyen. Az adatrendeletet ezért </w:t>
      </w:r>
      <w:r>
        <w:rPr>
          <w:b/>
          <w:bCs/>
        </w:rPr>
        <w:t xml:space="preserve">jogpolitikai irányjelzőként</w:t>
      </w:r>
      <w:r>
        <w:t xml:space="preserve"> hívjuk fel, </w:t>
      </w:r>
      <w:r>
        <w:rPr>
          <w:b/>
          <w:bCs/>
        </w:rPr>
        <w:t xml:space="preserve">jogalapként nem</w:t>
      </w:r>
      <w:r>
        <w:t xml:space="preserve">.</w:t>
      </w:r>
    </w:p>
    <w:p>
      <w:pPr>
        <w:pStyle w:val="Heading2"/>
        <w:spacing w:after="160" w:before="320"/>
      </w:pPr>
      <w:r>
        <w:t xml:space="preserve">3.5 Az MI-rendelet — szűkített jogi következtetés</w:t>
      </w:r>
    </w:p>
    <w:p>
      <w:pPr>
        <w:spacing w:after="140"/>
        <w:jc w:val="both"/>
      </w:pPr>
      <w:r>
        <w:t xml:space="preserve">Az </w:t>
      </w:r>
      <w:r>
        <w:rPr>
          <w:b/>
          <w:bCs/>
        </w:rPr>
        <w:t xml:space="preserve">(EU) 2024/1689 rendelet</w:t>
      </w:r>
      <w:r>
        <w:t xml:space="preserve"> 4. cikke 2025. február 2-tól előírja, hogy az MI-rendszereket alkalmazó szervezetek gondoskodjanak munkatársaik MI-jártasságáról. Ebből </w:t>
      </w:r>
      <w:r>
        <w:rPr>
          <w:b/>
          <w:bCs/>
        </w:rPr>
        <w:t xml:space="preserve">nem következik</w:t>
      </w:r>
      <w:r>
        <w:t xml:space="preserve">, hogy bármely oktatási rendszernek programozói felületet kellene nyitnia.</w:t>
      </w:r>
    </w:p>
    <w:p>
      <w:pPr>
        <w:spacing w:after="140"/>
        <w:jc w:val="both"/>
      </w:pPr>
      <w:r>
        <w:t xml:space="preserve">Egyetlen, szűk következtetést vonunk le: ha az iskoláknak jogszabályi kötelességük felkészülten megszervezni az MI-használatot, akkor ehhez jogszerű technikai csatornának is léteznie kell. A pedagógusi oldal érdemi indokolása azonban </w:t>
      </w:r>
      <w:r>
        <w:rPr>
          <w:b/>
          <w:bCs/>
        </w:rPr>
        <w:t xml:space="preserve">nem jogi, hanem szakpolitikai</w:t>
      </w:r>
      <w:r>
        <w:t xml:space="preserve"> — lásd a 10.3 pontot.</w:t>
      </w:r>
    </w:p>
    <w:p>
      <w:pPr>
        <w:pStyle w:val="Heading2"/>
        <w:spacing w:after="160" w:before="320"/>
      </w:pPr>
      <w:r>
        <w:t xml:space="preserve">3.6 A PSD2-analógia — vállalva mindkét élét</w:t>
      </w:r>
    </w:p>
    <w:p>
      <w:pPr>
        <w:spacing w:after="140"/>
        <w:jc w:val="both"/>
      </w:pPr>
      <w:r>
        <w:rPr>
          <w:b/>
          <w:bCs/>
        </w:rPr>
        <w:t xml:space="preserve">Mellette szól:</w:t>
      </w:r>
      <w:r>
        <w:t xml:space="preserve"> az (EU) 2015/2366 irányelv (PSD2) és az (EU) 2018/389 felhatalmazáson alapuló rendelet 2019. szeptember 14-től </w:t>
      </w:r>
      <w:r>
        <w:rPr>
          <w:b/>
          <w:bCs/>
        </w:rPr>
        <w:t xml:space="preserve">dedikált, biztonságos felületet</w:t>
      </w:r>
      <w:r>
        <w:t xml:space="preserve">, nyilvános technikai specifikációt és tesztelési lehetőséget követel meg. A brit versenyhatóság (CMA) 2018-tól egységes nyílt banki API-szabványt tett kötelezővé a legnagyobb bankoknak. Az az állítás tehát, hogy egy monopolizált ügyfélfelület jogszabállyal megnyitható, és ettől a szektor nem omlik össze, empirikusan igazolt.</w:t>
      </w:r>
    </w:p>
    <w:p>
      <w:pPr>
        <w:spacing w:after="140"/>
        <w:jc w:val="both"/>
      </w:pPr>
      <w:r>
        <w:rPr>
          <w:b/>
          <w:bCs/>
        </w:rPr>
        <w:t xml:space="preserve">Ellene szól:</w:t>
      </w:r>
      <w:r>
        <w:t xml:space="preserve"> a PSD2 világában a harmadik fél szolgáltatók </w:t>
      </w:r>
      <w:r>
        <w:rPr>
          <w:b/>
          <w:bCs/>
        </w:rPr>
        <w:t xml:space="preserve">engedélyezett, felügyelt szereplők</w:t>
      </w:r>
      <w:r>
        <w:t xml:space="preserve">, és a rendszer minősített tanúsítványokra épít. Aki ismeri az Open Bankinget, joggal mondhatja, hogy egy „egyedi engedélyezési eljárás nélküli” kliensregisztráció éppen a példa legfontosabb elemét hagyná ki: a </w:t>
      </w:r>
      <w:r>
        <w:rPr>
          <w:b/>
          <w:bCs/>
        </w:rPr>
        <w:t xml:space="preserve">bizalmi keretet</w:t>
      </w:r>
      <w:r>
        <w:t xml:space="preserve">.</w:t>
      </w:r>
    </w:p>
    <w:p>
      <w:pPr>
        <w:spacing w:after="140"/>
        <w:jc w:val="both"/>
      </w:pPr>
      <w:r>
        <w:t xml:space="preserve">Ezt az ellenérvet elfogadjuk. A 7. fejezet pótolja a hiányt.</w:t>
      </w:r>
    </w:p>
    <w:p>
      <w:pPr>
        <w:pBdr>
          <w:bottom w:val="single" w:color="B0B8C4" w:sz="6"/>
        </w:pBdr>
        <w:spacing w:after="200" w:before="200"/>
      </w:pPr>
      <w:r>
        <w:t xml:space="preserve"/>
      </w:r>
    </w:p>
    <w:p>
      <w:pPr>
        <w:pStyle w:val="Heading1"/>
        <w:spacing w:after="160" w:before="320"/>
      </w:pPr>
      <w:r>
        <w:t xml:space="preserve">4. Mi a probléma?</w:t>
      </w:r>
    </w:p>
    <w:p>
      <w:pPr>
        <w:pStyle w:val="Heading2"/>
        <w:spacing w:after="160" w:before="320"/>
      </w:pPr>
      <w:r>
        <w:t xml:space="preserve">4.1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4.2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6.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4.3 A szülői oldalon a széttöredezettség megkerülő megoldásokat szül</w:t>
      </w:r>
    </w:p>
    <w:p>
      <w:pPr>
        <w:spacing w:after="140"/>
        <w:jc w:val="both"/>
      </w:pPr>
      <w:r>
        <w:t xml:space="preserve">A szülő napi valósága nem az, hogy hiányzik neki egy MI-asszisztens. Az, hogy túl sok felületet kell végigkattintania, és az iskolai a sokadik a sorban. Két gyerek esetén nem is egy: külön fiók, külön belépés, külön értesítési sor — az összefésülés pedig a szülő fejében történik.</w:t>
      </w:r>
    </w:p>
    <w:p>
      <w:pPr>
        <w:spacing w:after="140"/>
        <w:jc w:val="both"/>
      </w:pPr>
      <w:r>
        <w:t xml:space="preserve">Amit szeretne, az egyetlen kérdés a már használt eszközében: mi vár a gyerekekre a héten, melyik tantárgyból romlottak a jegyek,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szolgáltatás, amelyet az előterjesztés készítője üzemeltet, és amely a szülők MI-asszisztensét köti össze a KRÉTA-val. Ehhez ma kénytelen:</w:t>
      </w:r>
    </w:p>
    <w:p>
      <w:pPr>
        <w:pStyle w:val="ListParagraph"/>
        <w:numPr>
          <w:ilvl w:val="0"/>
          <w:numId w:val="1"/>
        </w:numPr>
        <w:spacing w:after="60"/>
      </w:pPr>
      <w:r>
        <w:t xml:space="preserve">a szülőtől átvenni a KRÉTA-jelszót, és a nevében belépni;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belépési tokeneket saját maga tárolni és frissen tartani;</w:t>
      </w:r>
    </w:p>
    <w:p>
      <w:pPr>
        <w:pStyle w:val="ListParagraph"/>
        <w:numPr>
          <w:ilvl w:val="0"/>
          <w:numId w:val="1"/>
        </w:numPr>
        <w:spacing w:after="60"/>
      </w:pPr>
      <w:r>
        <w:t xml:space="preserve">a KRÉTA-hívásokat lakossági hálózaton keresztül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Európai Unión kívüli MI-szolgáltatóhoz kerülnek.</w:t>
      </w:r>
    </w:p>
    <w:p>
      <w:pPr>
        <w:spacing w:after="140"/>
        <w:jc w:val="both"/>
      </w:pPr>
      <w:r>
        <w:t xml:space="preserve">A szülő a kiadott hozzáférést a KRÉTA-ban nem látja és ott nem tudja visszavonni. </w:t>
      </w:r>
      <w:r>
        <w:rPr>
          <w:b/>
          <w:bCs/>
        </w:rPr>
        <w:t xml:space="preserve">Az Üzenőfüzet célja, hogy ez a közvetítő szerep ebben a formában feleslegessé váljon.</w:t>
      </w:r>
      <w:r>
        <w:t xml:space="preserve"> Az előterjesztő érdekeltségét itt jelezzük: a javaslat elfogadása a saját szolgáltatásunk jelenlegi működési modelljét szünteti meg.</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8. fejezet erre ad szabályt.</w:t>
      </w:r>
    </w:p>
    <w:p>
      <w:pPr>
        <w:pStyle w:val="Heading2"/>
        <w:spacing w:after="160" w:before="320"/>
      </w:pPr>
      <w:r>
        <w:t xml:space="preserve">4.4 A tanári oldalon a széttöredezettség szabálytalan használatot szül</w:t>
      </w:r>
    </w:p>
    <w:p>
      <w:pPr>
        <w:spacing w:after="140"/>
        <w:jc w:val="both"/>
      </w:pPr>
      <w:r>
        <w:t xml:space="preserve">A pedagógus ugyanezt éli meg, más szerepben. A napló, a kommunikáció, az órarend, a tananyag, az értékelés, adott esetben egy tanulásszervezési rendszer, emellett e-mail, megosztott dokumentumok és belső intézményi felületek — mind külön. Az információ átvitele egyikből a másikba kézi munka, és éppen ez a kézi munka jelenik meg az adminisztrációs időben.</w:t>
      </w:r>
    </w:p>
    <w:p>
      <w:pPr>
        <w:spacing w:after="140"/>
        <w:jc w:val="both"/>
      </w:pPr>
      <w:r>
        <w:t xml:space="preserve">A teher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t xml:space="preserve">Itt érdemes kimondani a legfontosabb következményt: </w:t>
      </w:r>
      <w:r>
        <w:rPr>
          <w:b/>
          <w:bCs/>
        </w:rPr>
        <w:t xml:space="preserve">a zárt rendszer nem az ellenőrizetlen használatot akadályozza, hanem az ellenőrzöttet.</w:t>
      </w:r>
      <w:r>
        <w:t xml:space="preserve"> A kimásolást senki nem tudja megállítani. Amit a zártság megakadályoz, az a szabályos, naplózott, intézményileg engedélyezett út.</w:t>
      </w:r>
    </w:p>
    <w:p>
      <w:pPr>
        <w:spacing w:after="140"/>
        <w:jc w:val="both"/>
      </w:pPr>
      <w:r>
        <w:t xml:space="preserve">Ez a leírás </w:t>
      </w:r>
      <w:r>
        <w:rPr>
          <w:b/>
          <w:bCs/>
        </w:rPr>
        <w:t xml:space="preserve">feltételezést is tartalmaz</w:t>
      </w:r>
      <w:r>
        <w:t xml:space="preserve">: arról, hogy ez a gyakorlat milyen gyakori, nincs hazai mérés. Éppen ez a kár egyik formája — a jelenség szerkezeti okból mérhetetlen.</w:t>
      </w:r>
    </w:p>
    <w:p>
      <w:pPr>
        <w:pBdr>
          <w:bottom w:val="single" w:color="B0B8C4" w:sz="6"/>
        </w:pBdr>
        <w:spacing w:after="200" w:before="200"/>
      </w:pPr>
      <w:r>
        <w:t xml:space="preserve"/>
      </w:r>
    </w:p>
    <w:p>
      <w:pPr>
        <w:pStyle w:val="Heading1"/>
        <w:spacing w:after="160" w:before="320"/>
      </w:pPr>
      <w:r>
        <w:t xml:space="preserve">5. Hogyan jutottunk ide?</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3.6).</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3.4 pontban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6. Milyen kárt okoz a jelenlegi helyzet?</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6.1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azt mondja meg, az adminisztrációnak mekkora része kötődik egyáltalán tanulmányi rendszerből származó adathoz. Az </w:t>
      </w:r>
      <w:r>
        <w:rPr>
          <w:b/>
          <w:bCs/>
        </w:rPr>
        <w:t xml:space="preserve">időnyereség</w:t>
      </w:r>
      <w:r>
        <w:t xml:space="preserve"> azt, hogy ezen belül mennyit rövidít az integrált MI — beleszámítva azt is, hogy a pedagógusnak utólag ellenőriznie kell a kimenetet.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6.2 pont szerinti pilotnak kell megadnia.</w:t>
      </w:r>
    </w:p>
    <w:p>
      <w:pPr>
        <w:spacing w:after="140"/>
        <w:jc w:val="both"/>
      </w:pPr>
      <w:r>
        <w:rPr>
          <w:b/>
          <w:bCs/>
        </w:rPr>
        <w:t xml:space="preserve">Miért nem forintosítjuk.</w:t>
      </w:r>
      <w:r>
        <w:t xml:space="preserve"> A korábbi változat bérértéken is kifejezte ezt az időt. Ezt kivettük.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tisztább és védhetőbb állítás, mint bármely forintösszeg,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14. fejezet nyitott kérdésként rögzíti.</w:t>
      </w:r>
    </w:p>
    <w:p>
      <w:pPr>
        <w:pStyle w:val="Heading2"/>
        <w:spacing w:after="160" w:before="320"/>
      </w:pPr>
      <w:r>
        <w:t xml:space="preserve">6.2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12./IV.),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6.3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6.4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6.5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(4.1). A meglévő megoldások egy rendszerfrissítéssel megszűnhetnek. Hogy ez konkrétan hány vállalkozást tartott vissza, arról nincs felmérés; a mechanizmus azonban a 4.3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7. Bizalmi és biztonsági modell — ki kaphat felhatalmazást</w:t>
      </w:r>
    </w:p>
    <w:p>
      <w:pPr>
        <w:spacing w:after="140"/>
        <w:jc w:val="both"/>
      </w:pPr>
      <w:r>
        <w:t xml:space="preserve">Ez a fejezet az első réteg: azt szabályozza, </w:t>
      </w:r>
      <w:r>
        <w:rPr>
          <w:b/>
          <w:bCs/>
        </w:rPr>
        <w:t xml:space="preserve">ki</w:t>
      </w:r>
      <w:r>
        <w:t xml:space="preserve"> kapcsolódhat és </w:t>
      </w:r>
      <w:r>
        <w:rPr>
          <w:b/>
          <w:bCs/>
        </w:rPr>
        <w:t xml:space="preserve">milyen műveletre</w:t>
      </w:r>
      <w:r>
        <w:t xml:space="preserve">. Azt, hogy az adattal utána mi történik, a 8. fejezet rendezi.</w:t>
      </w:r>
    </w:p>
    <w:p>
      <w:pPr>
        <w:pStyle w:val="Heading2"/>
        <w:spacing w:after="160" w:before="320"/>
      </w:pPr>
      <w:r>
        <w:t xml:space="preserve">7.1 Kliensosztályok</w:t>
      </w:r>
    </w:p>
    <w:p>
      <w:pPr>
        <w:spacing w:after="140"/>
        <w:jc w:val="both"/>
      </w:pPr>
      <w:r>
        <w:rPr>
          <w:b/>
          <w:bCs/>
        </w:rPr>
        <w:t xml:space="preserve">1. bizalmi szint — bejelentett kliens.</w:t>
      </w:r>
    </w:p>
    <w:p>
      <w:pPr>
        <w:spacing w:after="140"/>
        <w:jc w:val="both"/>
      </w:pPr>
      <w:r>
        <w:rPr>
          <w:i/>
          <w:iCs/>
        </w:rPr>
        <w:t xml:space="preserve">Mit tehet:</w:t>
      </w:r>
      <w:r>
        <w:t xml:space="preserve"> kizárólag olvasás, kizárólag az érintett saját, illetve a szülő esetében a gyermekére vonatkozó adatkörében (A) eset).</w:t>
      </w:r>
    </w:p>
    <w:p>
      <w:pPr>
        <w:spacing w:after="140"/>
        <w:jc w:val="both"/>
      </w:pPr>
      <w:r>
        <w:rPr>
          <w:i/>
          <w:iCs/>
        </w:rPr>
        <w:t xml:space="preserve">Regisztráció:</w:t>
      </w:r>
      <w:r>
        <w:t xml:space="preserve"> önkiszolgáló, dinamikus kliensregisztrációval (RFC 7591), egyedi engedélyezési eljárás nélkül.</w:t>
      </w:r>
    </w:p>
    <w:p>
      <w:pPr>
        <w:spacing w:after="140"/>
        <w:jc w:val="both"/>
      </w:pPr>
      <w:r>
        <w:rPr>
          <w:i/>
          <w:iCs/>
        </w:rPr>
        <w:t xml:space="preserve">Feltétel:</w:t>
      </w:r>
      <w:r>
        <w:t xml:space="preserve"> működő kapcsolattartási cím, közzétett adatkezelési tájékoztató elérhetősége, a kliens nyilvános megnevezése, valamint a 8.2 pont szerinti </w:t>
      </w:r>
      <w:r>
        <w:rPr>
          <w:b/>
          <w:bCs/>
        </w:rPr>
        <w:t xml:space="preserve">továbbítási nyilatkozat</w:t>
      </w:r>
      <w:r>
        <w:t xml:space="preserve">.</w:t>
      </w:r>
    </w:p>
    <w:p>
      <w:pPr>
        <w:spacing w:after="140"/>
        <w:jc w:val="both"/>
      </w:pPr>
      <w:r>
        <w:rPr>
          <w:i/>
          <w:iCs/>
        </w:rPr>
        <w:t xml:space="preserve">Hitelesítés:</w:t>
      </w:r>
      <w:r>
        <w:t xml:space="preserve"> OAuth 2.0 authorization code folyamat, kötelező PKCE-vel, az RFC 9700 szerint; implicit és jelszó alapú folyamat tilos.</w:t>
      </w:r>
    </w:p>
    <w:p>
      <w:pPr>
        <w:spacing w:after="140"/>
        <w:jc w:val="both"/>
      </w:pPr>
      <w:r>
        <w:rPr>
          <w:i/>
          <w:iCs/>
        </w:rPr>
        <w:t xml:space="preserve">Korlátok:</w:t>
      </w:r>
      <w:r>
        <w:t xml:space="preserve"> kérésszám-korlát, rövid tokenélettartam, felhasználónkénti egyedi jóváhagyás, és a jóváhagyó képernyőn kifejezett jelzés arról, hogy a kliens kiadója nincs átvilágítva.</w:t>
      </w:r>
    </w:p>
    <w:p>
      <w:pPr>
        <w:spacing w:after="140"/>
        <w:jc w:val="both"/>
      </w:pPr>
      <w:r>
        <w:rPr>
          <w:b/>
          <w:bCs/>
        </w:rPr>
        <w:t xml:space="preserve">2. bizalmi szint — nyilvántartásba vett szolgáltató.</w:t>
      </w:r>
    </w:p>
    <w:p>
      <w:pPr>
        <w:spacing w:after="140"/>
        <w:jc w:val="both"/>
      </w:pPr>
      <w:r>
        <w:rPr>
          <w:i/>
          <w:iCs/>
        </w:rPr>
        <w:t xml:space="preserve">Mit tehet:</w:t>
      </w:r>
      <w:r>
        <w:t xml:space="preserve"> az 1. szint jogosultságai, továbbá műveletvégzés az érintett saját adatkörében (B) eset), valamint pedagógusi és oktatói olvasás.</w:t>
      </w:r>
    </w:p>
    <w:p>
      <w:pPr>
        <w:spacing w:after="140"/>
        <w:jc w:val="both"/>
      </w:pPr>
      <w:r>
        <w:rPr>
          <w:i/>
          <w:iCs/>
        </w:rPr>
        <w:t xml:space="preserve">Feltétel:</w:t>
      </w:r>
      <w:r>
        <w:t xml:space="preserve"> azonosított kiadó (cégjegyzék- vagy nyilvántartási szám, székhely, felelős kapcsolattartó), biztonsági incidens bejelentésének vállalása, a nyilvántartás által kibocsátott, aláírt szoftvernyilatkozat (software statement).</w:t>
      </w:r>
    </w:p>
    <w:p>
      <w:pPr>
        <w:spacing w:after="140"/>
        <w:jc w:val="both"/>
      </w:pPr>
      <w:r>
        <w:rPr>
          <w:i/>
          <w:iCs/>
        </w:rPr>
        <w:t xml:space="preserve">Hitelesítés:</w:t>
      </w:r>
      <w:r>
        <w:t xml:space="preserve"> bizalmas kliens, aszimmetrikus kulcsú kliensauthentikáció, a birtokláshoz kötött (sender-constrained) hozzáférési token.</w:t>
      </w:r>
    </w:p>
    <w:p>
      <w:pPr>
        <w:spacing w:after="140"/>
        <w:jc w:val="both"/>
      </w:pPr>
      <w:r>
        <w:rPr>
          <w:b/>
          <w:bCs/>
        </w:rPr>
        <w:t xml:space="preserve">3. bizalmi szint — intézményi adatfeldolgozó.</w:t>
      </w:r>
    </w:p>
    <w:p>
      <w:pPr>
        <w:spacing w:after="140"/>
        <w:jc w:val="both"/>
      </w:pPr>
      <w:r>
        <w:rPr>
          <w:i/>
          <w:iCs/>
        </w:rPr>
        <w:t xml:space="preserve">Mit tehet:</w:t>
      </w:r>
      <w:r>
        <w:t xml:space="preserve"> műveletvégzés pedagógusi vagy oktatói jogosultság körében, más érintettek adataival (C) eset).</w:t>
      </w:r>
    </w:p>
    <w:p>
      <w:pPr>
        <w:spacing w:after="140"/>
        <w:jc w:val="both"/>
      </w:pPr>
      <w:r>
        <w:rPr>
          <w:i/>
          <w:iCs/>
        </w:rPr>
        <w:t xml:space="preserve">Feltétel:</w:t>
      </w:r>
      <w:r>
        <w:t xml:space="preserve"> a 2. szint feltételei, továbbá érvényes, a GDPR 28. cikke szerinti adatfeldolgozói szerződés az adatkezelő intézménnyel vagy a fenntartóval, és szereplés az intézmény engedélyezőlistáján.</w:t>
      </w:r>
    </w:p>
    <w:p>
      <w:pPr>
        <w:spacing w:after="140"/>
        <w:jc w:val="both"/>
      </w:pPr>
      <w:r>
        <w:rPr>
          <w:i/>
          <w:iCs/>
        </w:rPr>
        <w:t xml:space="preserve">Hitelesítés:</w:t>
      </w:r>
      <w:r>
        <w:t xml:space="preserve"> emelt biztonsági profil (FAPI 2.0 Security Profile) vagy azzal egyenértékű megoldás, kliensattesztáció.</w:t>
      </w:r>
    </w:p>
    <w:p>
      <w:pPr>
        <w:pStyle w:val="Heading2"/>
        <w:spacing w:after="160" w:before="320"/>
      </w:pPr>
      <w:r>
        <w:t xml:space="preserve">7.2 Megkülönböztetésmentesség — a szabály helyes megfogalmazása</w:t>
      </w:r>
    </w:p>
    <w:p>
      <w:pPr>
        <w:spacing w:after="140"/>
        <w:jc w:val="both"/>
      </w:pPr>
      <w:r>
        <w:t xml:space="preserve">Egy böngészőben futó nyilvános kliens, egy mobilalkalmazás és egy szerveroldali bizalmas kliens kockázata nem azonos, és az RFC 9700 éppen ezekre az eltérésekre ad külön ellenintézkedéseket. A szabály célja ezért nem az azonos bánásmód, hanem az, hogy az üzemeltető ne tudja biztonsági indokra hivatkozva elsorvasztani a harmadik fél klienseit:</w:t>
      </w:r>
    </w:p>
    <w:p>
      <w:pPr>
        <w:pStyle w:val="ListParagraph"/>
        <w:numPr>
          <w:ilvl w:val="0"/>
          <w:numId w:val="2"/>
        </w:numPr>
        <w:spacing w:after="60"/>
      </w:pPr>
      <w:r>
        <w:t xml:space="preserve">Az azonos bizalmi szintbe tartozó klienseket </w:t>
      </w:r>
      <w:r>
        <w:rPr>
          <w:b/>
          <w:bCs/>
        </w:rPr>
        <w:t xml:space="preserve">azonos feltételekkel</w:t>
      </w:r>
      <w:r>
        <w:t xml:space="preserve"> kell kiszolgálni.</w:t>
      </w:r>
    </w:p>
    <w:p>
      <w:pPr>
        <w:pStyle w:val="ListParagraph"/>
        <w:numPr>
          <w:ilvl w:val="0"/>
          <w:numId w:val="2"/>
        </w:numPr>
        <w:spacing w:after="60"/>
      </w:pPr>
      <w:r>
        <w:t xml:space="preserve">Az üzemeltető hivatalos alkalmazása </w:t>
      </w:r>
      <w:r>
        <w:rPr>
          <w:b/>
          <w:bCs/>
        </w:rPr>
        <w:t xml:space="preserve">nem kaphat olyan képességet vagy szolgáltatásminőséget</w:t>
      </w:r>
      <w:r>
        <w:t xml:space="preserve">, amelyet azonos bizalmi szintű felhatalmazott kliens nem kaphat meg. A hivatalos alkalmazást e célból a megfelelő bizalmi szintbe be kell sorolni.</w:t>
      </w:r>
    </w:p>
    <w:p>
      <w:pPr>
        <w:pStyle w:val="ListParagraph"/>
        <w:numPr>
          <w:ilvl w:val="0"/>
          <w:numId w:val="2"/>
        </w:numPr>
        <w:spacing w:after="60"/>
      </w:pPr>
      <w:r>
        <w:t xml:space="preserve">Kockázatalapú korlátozás </w:t>
      </w:r>
      <w:r>
        <w:rPr>
          <w:b/>
          <w:bCs/>
        </w:rPr>
        <w:t xml:space="preserve">megengedett</w:t>
      </w:r>
      <w:r>
        <w:t xml:space="preserve">, ha előre közzétett, objektív kritériumon alapul, és minden azonos helyzetű kliensre vonatkozik.</w:t>
      </w:r>
    </w:p>
    <w:p>
      <w:pPr>
        <w:pStyle w:val="ListParagraph"/>
        <w:numPr>
          <w:ilvl w:val="0"/>
          <w:numId w:val="2"/>
        </w:numPr>
        <w:spacing w:after="60"/>
      </w:pPr>
      <w:r>
        <w:t xml:space="preserve">Egyedi kliens felfüggesztése </w:t>
      </w:r>
      <w:r>
        <w:rPr>
          <w:b/>
          <w:bCs/>
        </w:rPr>
        <w:t xml:space="preserve">kizárólag</w:t>
      </w:r>
      <w:r>
        <w:t xml:space="preserve"> bizonyítékkal alátámasztott biztonsági okból lehetséges, írásbeli indokolással, jogorvoslati lehetőséggel, és a felfüggesztések számának megjelenítésével az éves nyilvános jelentésben.</w:t>
      </w:r>
    </w:p>
    <w:p>
      <w:pPr>
        <w:pStyle w:val="Heading2"/>
        <w:spacing w:after="160" w:before="320"/>
      </w:pPr>
      <w:r>
        <w:t xml:space="preserve">7.3 Kompromittált vagy visszaélő kliens</w:t>
      </w:r>
    </w:p>
    <w:p>
      <w:pPr>
        <w:pStyle w:val="ListParagraph"/>
        <w:numPr>
          <w:ilvl w:val="0"/>
          <w:numId w:val="1"/>
        </w:numPr>
        <w:spacing w:after="60"/>
      </w:pPr>
      <w:r>
        <w:t xml:space="preserve">A nyilvántartást vezető szerv a kliens regisztrációját visszavonhatja; ekkor az adott klienshez tartozó </w:t>
      </w:r>
      <w:r>
        <w:rPr>
          <w:b/>
          <w:bCs/>
        </w:rPr>
        <w:t xml:space="preserve">összes felhatalmazás azonnal hatályát veszti</w:t>
      </w:r>
      <w:r>
        <w:t xml:space="preserve">.</w:t>
      </w:r>
    </w:p>
    <w:p>
      <w:pPr>
        <w:pStyle w:val="ListParagraph"/>
        <w:numPr>
          <w:ilvl w:val="0"/>
          <w:numId w:val="1"/>
        </w:numPr>
        <w:spacing w:after="60"/>
      </w:pPr>
      <w:r>
        <w:t xml:space="preserve">Az üzemeltető köteles értesíteni azokat a felhasználókat, akiknek felhatalmazása visszavont kliensre vonatkozott.</w:t>
      </w:r>
    </w:p>
    <w:p>
      <w:pPr>
        <w:pStyle w:val="ListParagraph"/>
        <w:numPr>
          <w:ilvl w:val="0"/>
          <w:numId w:val="1"/>
        </w:numPr>
        <w:spacing w:after="60"/>
      </w:pPr>
      <w:r>
        <w:t xml:space="preserve">A kiadó a tudomásszerzéstől számított 72 órán belül köteles bejelenteni a klienst érintő biztonsági incidenst.</w:t>
      </w:r>
    </w:p>
    <w:p>
      <w:pPr>
        <w:pStyle w:val="Heading2"/>
        <w:spacing w:after="160" w:before="320"/>
      </w:pPr>
      <w:r>
        <w:t xml:space="preserve">7.4 Adathalászat elleni alapvédelem</w:t>
      </w:r>
    </w:p>
    <w:p>
      <w:pPr>
        <w:pStyle w:val="ListParagraph"/>
        <w:numPr>
          <w:ilvl w:val="0"/>
          <w:numId w:val="1"/>
        </w:numPr>
        <w:spacing w:after="60"/>
      </w:pPr>
      <w:r>
        <w:t xml:space="preserve">A jóváhagyó képernyő </w:t>
      </w:r>
      <w:r>
        <w:rPr>
          <w:b/>
          <w:bCs/>
        </w:rPr>
        <w:t xml:space="preserve">a hivatalos felületen</w:t>
      </w:r>
      <w:r>
        <w:t xml:space="preserve"> jelenik meg.</w:t>
      </w:r>
    </w:p>
    <w:p>
      <w:pPr>
        <w:pStyle w:val="ListParagraph"/>
        <w:numPr>
          <w:ilvl w:val="0"/>
          <w:numId w:val="1"/>
        </w:numPr>
        <w:spacing w:after="60"/>
      </w:pPr>
      <w:r>
        <w:t xml:space="preserve">A kliens megnevezését és kiadóját a hivatalos felület </w:t>
      </w:r>
      <w:r>
        <w:rPr>
          <w:b/>
          <w:bCs/>
        </w:rPr>
        <w:t xml:space="preserve">a nyilvántartásból veszi</w:t>
      </w:r>
      <w:r>
        <w:t xml:space="preserve">; a kliens ezt nem írhatja felül.</w:t>
      </w:r>
    </w:p>
    <w:p>
      <w:pPr>
        <w:pStyle w:val="ListParagraph"/>
        <w:numPr>
          <w:ilvl w:val="0"/>
          <w:numId w:val="1"/>
        </w:numPr>
        <w:spacing w:after="60"/>
      </w:pPr>
      <w:r>
        <w:t xml:space="preserve">A felhatalmazás </w:t>
      </w:r>
      <w:r>
        <w:rPr>
          <w:b/>
          <w:bCs/>
        </w:rPr>
        <w:t xml:space="preserve">határozott, legfeljebb tizenkét hónapos</w:t>
      </w:r>
      <w:r>
        <w:t xml:space="preserve"> időtartamra szól, majd megújítandó.</w:t>
      </w:r>
    </w:p>
    <w:p>
      <w:pPr>
        <w:pStyle w:val="Heading2"/>
        <w:spacing w:after="160" w:before="320"/>
      </w:pPr>
      <w:r>
        <w:t xml:space="preserve">7.5 Amit ez a keret nem old meg</w:t>
      </w:r>
    </w:p>
    <w:p>
      <w:pPr>
        <w:pStyle w:val="ListParagraph"/>
        <w:numPr>
          <w:ilvl w:val="0"/>
          <w:numId w:val="1"/>
        </w:numPr>
        <w:spacing w:after="60"/>
      </w:pPr>
      <w:r>
        <w:t xml:space="preserve">Nem akadályozza meg, hogy a felhasználó rossz döntést hozzon és megbízhatatlan szoftvernek adjon felhatalmazást. Csökkenti a kárt, nem szünteti meg. A 8.2 pont szerinti tájékoztatás azért fontos, mert a döntést jobbá teszi, de nem veszi el.</w:t>
      </w:r>
    </w:p>
    <w:p>
      <w:pPr>
        <w:pStyle w:val="ListParagraph"/>
        <w:numPr>
          <w:ilvl w:val="0"/>
          <w:numId w:val="1"/>
        </w:numPr>
        <w:spacing w:after="60"/>
      </w:pPr>
      <w:r>
        <w:t xml:space="preserve">Nem szabályozza, mi történik az adattal a klienshez érkezése után; erről a 8. fejezet szól, és annak is vannak korlátai (8.4).</w:t>
      </w:r>
    </w:p>
    <w:p>
      <w:pPr>
        <w:pStyle w:val="ListParagraph"/>
        <w:numPr>
          <w:ilvl w:val="0"/>
          <w:numId w:val="1"/>
        </w:numPr>
        <w:spacing w:after="60"/>
      </w:pPr>
      <w:r>
        <w:t xml:space="preserve">Az 1. bizalmi szinten átvilágítatlan kiadó is kaphat olvasási hozzáférést kiskorú adataihoz, szülői jóváhagyással. Ezt vállaltan tartjuk így: e nélkül a javaslat lényege veszne el, és a szülő ma ugyanennek a körnek ad jelszót, csak láthatatlanul. A jóváhagyó képernyő ezért kifejezetten jelzi, ha a kiadó nincs átvilágítva.</w:t>
      </w:r>
    </w:p>
    <w:p>
      <w:pPr>
        <w:pBdr>
          <w:bottom w:val="single" w:color="B0B8C4" w:sz="6"/>
        </w:pBdr>
        <w:spacing w:after="200" w:before="200"/>
      </w:pPr>
      <w:r>
        <w:t xml:space="preserve"/>
      </w:r>
    </w:p>
    <w:p>
      <w:pPr>
        <w:pStyle w:val="Heading1"/>
        <w:spacing w:after="160" w:before="320"/>
      </w:pPr>
      <w:r>
        <w:t xml:space="preserve">8. A felhasználás rétege — mi történik az adattal a kiadás után</w:t>
      </w:r>
    </w:p>
    <w:p>
      <w:pPr>
        <w:pStyle w:val="Heading2"/>
        <w:spacing w:after="160" w:before="320"/>
      </w:pPr>
      <w:r>
        <w:t xml:space="preserve">8.1 Miért ez a valódi új kockázat</w:t>
      </w:r>
    </w:p>
    <w:p>
      <w:pPr>
        <w:spacing w:after="140"/>
        <w:jc w:val="both"/>
      </w:pPr>
      <w:r>
        <w:t xml:space="preserve">A hozzáférés nem új: a szülő ma is látja a gyermeke jegyeit. Ami új, az az, hogy egy </w:t>
      </w:r>
      <w:r>
        <w:rPr>
          <w:b/>
          <w:bCs/>
        </w:rPr>
        <w:t xml:space="preserve">program</w:t>
      </w:r>
      <w:r>
        <w:t xml:space="preserve"> is megkapja őket, és azokkal kezd valamit — jellemzően továbbküldi egy MI-szolgáltatónak.</w:t>
      </w:r>
    </w:p>
    <w:p>
      <w:pPr>
        <w:spacing w:after="140"/>
        <w:jc w:val="both"/>
      </w:pPr>
      <w:r>
        <w:t xml:space="preserve">Ezen a ponton a szabályozásnak nem az a kérdése, hogy a szülő láthatja-e az adatot, hanem hogy </w:t>
      </w:r>
      <w:r>
        <w:rPr>
          <w:b/>
          <w:bCs/>
        </w:rPr>
        <w:t xml:space="preserve">tudja-e, mi történik vele</w:t>
      </w:r>
      <w:r>
        <w:t xml:space="preserve">. A hatályos gyakorlat erre nem ad választ: minden szolgáltató a saját adatkezelési tájékoztatójában, saját nyelvezetével, saját belátása szerint rendezi. A szülő pedig egy jelölőnégyzetet pipál ki.</w:t>
      </w:r>
    </w:p>
    <w:p>
      <w:pPr>
        <w:spacing w:after="140"/>
        <w:jc w:val="both"/>
      </w:pPr>
      <w:r>
        <w:t xml:space="preserve">A javaslat ezért két dolgot ír elő: </w:t>
      </w:r>
      <w:r>
        <w:rPr>
          <w:b/>
          <w:bCs/>
        </w:rPr>
        <w:t xml:space="preserve">érthető tájékoztatást a döntés pillanatában</w:t>
      </w:r>
      <w:r>
        <w:t xml:space="preserve"> (8.2), és </w:t>
      </w:r>
      <w:r>
        <w:rPr>
          <w:b/>
          <w:bCs/>
        </w:rPr>
        <w:t xml:space="preserve">korlátot arra, mi vihető egyáltalán tovább</w:t>
      </w:r>
      <w:r>
        <w:t xml:space="preserve"> (8.3).</w:t>
      </w:r>
    </w:p>
    <w:p>
      <w:pPr>
        <w:pStyle w:val="Heading2"/>
        <w:spacing w:after="160" w:before="320"/>
      </w:pPr>
      <w:r>
        <w:t xml:space="preserve">8.2 A döntési képernyő emberi nyelven</w:t>
      </w:r>
    </w:p>
    <w:p>
      <w:pPr>
        <w:spacing w:after="140"/>
        <w:jc w:val="both"/>
      </w:pPr>
      <w:r>
        <w:rPr>
          <w:b/>
          <w:bCs/>
        </w:rPr>
        <w:t xml:space="preserve">A követelmény.</w:t>
      </w:r>
      <w:r>
        <w:t xml:space="preserve"> A felhatalmazás jóváhagyó képernyője a hivatalos felületen jelenik meg, és </w:t>
      </w:r>
      <w:r>
        <w:rPr>
          <w:b/>
          <w:bCs/>
        </w:rPr>
        <w:t xml:space="preserve">köznyelven</w:t>
      </w:r>
      <w:r>
        <w:t xml:space="preserve"> mondja meg, mi történik az adattal. Nem jogszabályi hivatkozásokkal, nem rövidítésekkel, nem „az adatkezelés jogalapja” fordulattal. A részletes jogi tájékoztató lehet mögötte, egy kattintásra — de a döntés nem azon múlhat, hogy a szülő elolvas-e nyolc oldalt.</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w:t>
      </w:r>
      <w:r>
        <w:rPr>
          <w:b/>
          <w:bCs/>
        </w:rPr>
        <w:t xml:space="preserve">nem írhatja felül</w:t>
      </w:r>
      <w:r>
        <w:t xml:space="preserve">. A valótlan nyilatkozat a nyilvántartásból való törlést vonja maga után.</w:t>
      </w:r>
    </w:p>
    <w:p>
      <w:pPr>
        <w:spacing w:after="140"/>
        <w:jc w:val="both"/>
      </w:pPr>
      <w:r>
        <w:rPr>
          <w:b/>
          <w:bCs/>
        </w:rPr>
        <w:t xml:space="preserve">Mintaszöveg.</w:t>
      </w:r>
      <w:r>
        <w:t xml:space="preserve"> A rendeletnek nem szövegezést kell előírnia, hanem a kötelező tartalmi elemeket.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(2.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w:t>
      </w:r>
      <w:r>
        <w:rPr>
          <w:b/>
          <w:bCs/>
        </w:rPr>
        <w:t xml:space="preserve">elhagyja az Európai Uniót</w:t>
      </w:r>
      <w:r>
        <w:t xml:space="preserve">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rPr>
          <w:b/>
          <w:bCs/>
        </w:rPr>
        <w:t xml:space="preserve">A kötelező tartalmi elemek</w:t>
      </w:r>
      <w:r>
        <w:t xml:space="preserve">, amelyeket a kormányrendeletnek elő kell írnia:</w:t>
      </w:r>
    </w:p>
    <w:p>
      <w:pPr>
        <w:pStyle w:val="ListParagraph"/>
        <w:numPr>
          <w:ilvl w:val="0"/>
          <w:numId w:val="2"/>
        </w:numPr>
        <w:spacing w:after="60"/>
      </w:pPr>
      <w:r>
        <w:t xml:space="preserve">milyen adatkört kap meg a szoftver, és mit </w:t>
      </w:r>
      <w:r>
        <w:rPr>
          <w:b/>
          <w:bCs/>
        </w:rPr>
        <w:t xml:space="preserve">nem</w:t>
      </w:r>
      <w:r>
        <w:t xml:space="preserve"> kap meg;</w:t>
      </w:r>
    </w:p>
    <w:p>
      <w:pPr>
        <w:pStyle w:val="ListParagraph"/>
        <w:numPr>
          <w:ilvl w:val="0"/>
          <w:numId w:val="2"/>
        </w:numPr>
        <w:spacing w:after="60"/>
      </w:pPr>
      <w:r>
        <w:t xml:space="preserve">továbbítja-e az adatot más szolgáltatónak, és ha igen, kinek, néven nevezve;</w:t>
      </w:r>
    </w:p>
    <w:p>
      <w:pPr>
        <w:pStyle w:val="ListParagraph"/>
        <w:numPr>
          <w:ilvl w:val="0"/>
          <w:numId w:val="2"/>
        </w:numPr>
        <w:spacing w:after="60"/>
      </w:pPr>
      <w:r>
        <w:t xml:space="preserve">elhagyja-e az adat az Európai Gazdasági Térséget, és ha igen, melyik országba;</w:t>
      </w:r>
    </w:p>
    <w:p>
      <w:pPr>
        <w:pStyle w:val="ListParagraph"/>
        <w:numPr>
          <w:ilvl w:val="0"/>
          <w:numId w:val="2"/>
        </w:numPr>
        <w:spacing w:after="60"/>
      </w:pPr>
      <w:r>
        <w:t xml:space="preserve">tárolják-e, és meddig;</w:t>
      </w:r>
    </w:p>
    <w:p>
      <w:pPr>
        <w:pStyle w:val="ListParagraph"/>
        <w:numPr>
          <w:ilvl w:val="0"/>
          <w:numId w:val="2"/>
        </w:numPr>
        <w:spacing w:after="60"/>
      </w:pPr>
      <w:r>
        <w:t xml:space="preserve">használják-e a szoftver vagy a mesterséges intelligencia fejlesztésére, tanítására;</w:t>
      </w:r>
    </w:p>
    <w:p>
      <w:pPr>
        <w:pStyle w:val="ListParagraph"/>
        <w:numPr>
          <w:ilvl w:val="0"/>
          <w:numId w:val="2"/>
        </w:numPr>
        <w:spacing w:after="60"/>
      </w:pPr>
      <w:r>
        <w:t xml:space="preserve">mi történik a visszavonáskor: mikor szűnik meg a hozzáférés, és mi lesz a már átadott adattal;</w:t>
      </w:r>
    </w:p>
    <w:p>
      <w:pPr>
        <w:pStyle w:val="ListParagraph"/>
        <w:numPr>
          <w:ilvl w:val="0"/>
          <w:numId w:val="2"/>
        </w:numPr>
        <w:spacing w:after="60"/>
      </w:pPr>
      <w:r>
        <w:t xml:space="preserve">meddig szól a felhatalmazás, és hol vonható vissza;</w:t>
      </w:r>
    </w:p>
    <w:p>
      <w:pPr>
        <w:pStyle w:val="ListParagraph"/>
        <w:numPr>
          <w:ilvl w:val="0"/>
          <w:numId w:val="2"/>
        </w:numPr>
        <w:spacing w:after="60"/>
      </w:pPr>
      <w:r>
        <w:t xml:space="preserve">szülői felhatalmazásnál a gyermek megnevezése, akinek az adatairól szó van.</w:t>
      </w:r>
    </w:p>
    <w:p>
      <w:pPr>
        <w:spacing w:after="140"/>
        <w:jc w:val="both"/>
      </w:pPr>
      <w:r>
        <w:rPr>
          <w:b/>
          <w:bCs/>
        </w:rPr>
        <w:t xml:space="preserve">Ha a kiadó nem tud válaszolni</w:t>
      </w:r>
      <w:r>
        <w:t xml:space="preserve">, azt is ki kell írni. A „nem ismert, hogy az MI-szolgáltató meddig tárolja” önmagában is információ a szülőnek, és versenyhátrány annak, aki így nyilatkozik. Ez a rendelkezés a piacra is hat: aki tisztább adatkezelést tud vállalni, azt a jóváhagyó képernyőn láthatóvá teszi.</w:t>
      </w:r>
    </w:p>
    <w:p>
      <w:pPr>
        <w:pStyle w:val="Heading2"/>
        <w:spacing w:after="160" w:before="320"/>
      </w:pPr>
      <w:r>
        <w:t xml:space="preserve">8.3 Mi vihető tovább: az adatkör kérdése</w:t>
      </w:r>
    </w:p>
    <w:p>
      <w:pPr>
        <w:spacing w:after="140"/>
        <w:jc w:val="both"/>
      </w:pPr>
      <w:r>
        <w:t xml:space="preserve">Nem minden oktatási adat egyforma. A jegy és az órarend nem kezelendő ugyanúgy, mint egy gyermekvédelmi jelzés, egy fegyelmi eljárás irata, egy egészségügyi vagy sajátos nevelési igényre vonatkozó adat, vagy egy olyan bejegyzés, amely más tanulót is érint.</w:t>
      </w:r>
    </w:p>
    <w:p>
      <w:pPr>
        <w:spacing w:after="140"/>
        <w:jc w:val="both"/>
      </w:pPr>
      <w:r>
        <w:t xml:space="preserve">A javaslat ezért </w:t>
      </w:r>
      <w:r>
        <w:rPr>
          <w:b/>
          <w:bCs/>
        </w:rPr>
        <w:t xml:space="preserve">három adatkört</w:t>
      </w:r>
      <w:r>
        <w:t xml:space="preserve"> különböztet meg, és mindegyikhez más alapszabályt rendel: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8.2 szerinti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Fokozottan védett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w:t>
            </w:r>
            <w:r>
              <w:rPr>
                <w:b/>
                <w:bCs/>
                <w:sz w:val="18"/>
                <w:szCs w:val="18"/>
              </w:rPr>
              <w:t xml:space="preserve">külső szolgáltatóhoz nem továbbítható</w:t>
            </w:r>
            <w:r>
              <w:rPr>
                <w:sz w:val="18"/>
                <w:szCs w:val="18"/>
              </w:rPr>
              <w:t xml:space="preserve">;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t xml:space="preserve">A fokozottan védett adatkörnél a szabály </w:t>
      </w:r>
      <w:r>
        <w:rPr>
          <w:b/>
          <w:bCs/>
        </w:rPr>
        <w:t xml:space="preserve">nem a szülő látási jogát korlátozza</w:t>
      </w:r>
      <w:r>
        <w:t xml:space="preserve"> — azt nem érinti. Azt korlátozza, hogy ez az adat a delegált csatornán automatikusan egy külső MI-szolgáltatóhoz kerüljön.</w:t>
      </w:r>
    </w:p>
    <w:p>
      <w:pPr>
        <w:pStyle w:val="Heading2"/>
        <w:spacing w:after="160" w:before="320"/>
      </w:pPr>
      <w:r>
        <w:t xml:space="preserve">8.4 Mit szabályoz ez az előterjesztés, és mit hagy külön rétegre</w:t>
      </w:r>
    </w:p>
    <w:p>
      <w:pPr>
        <w:spacing w:after="140"/>
        <w:jc w:val="both"/>
      </w:pPr>
      <w:r>
        <w:t xml:space="preserve">Nem állítjuk, hogy ez az előterjesztés kimerítően rendezi, milyen oktatási adat kerülhet külső MI-szolgáltatóhoz. Ez önálló, tartalmi adatvédelmi kérdés, amely a javaslattól függetlenül is fennáll, és amelyre a válasz részben szakmai, nem jogalkotói.</w:t>
      </w:r>
    </w:p>
    <w:p>
      <w:pPr>
        <w:spacing w:after="140"/>
        <w:jc w:val="both"/>
      </w:pPr>
      <w:r>
        <w:t xml:space="preserve">Amit ez az előterjesztés vállal:</w:t>
      </w:r>
    </w:p>
    <w:p>
      <w:pPr>
        <w:pStyle w:val="ListParagraph"/>
        <w:numPr>
          <w:ilvl w:val="0"/>
          <w:numId w:val="1"/>
        </w:numPr>
        <w:spacing w:after="60"/>
      </w:pPr>
      <w:r>
        <w:rPr>
          <w:b/>
          <w:bCs/>
        </w:rPr>
        <w:t xml:space="preserve">megnevezi a réteget</w:t>
      </w:r>
      <w:r>
        <w:t xml:space="preserve">: a felhasználás szabályozása külön kérdés a hozzáférésétől, és nem hagyható a szolgáltatók belátására;</w:t>
      </w:r>
    </w:p>
    <w:p>
      <w:pPr>
        <w:pStyle w:val="ListParagraph"/>
        <w:numPr>
          <w:ilvl w:val="0"/>
          <w:numId w:val="1"/>
        </w:numPr>
        <w:spacing w:after="60"/>
      </w:pPr>
      <w:r>
        <w:rPr>
          <w:b/>
          <w:bCs/>
        </w:rPr>
        <w:t xml:space="preserve">rögzíti az alapértelmezést</w:t>
      </w:r>
      <w:r>
        <w:t xml:space="preserve">: a fokozottan védett adatkör nem továbbítható, amíg külön szabály mást nem mond;</w:t>
      </w:r>
    </w:p>
    <w:p>
      <w:pPr>
        <w:pStyle w:val="ListParagraph"/>
        <w:numPr>
          <w:ilvl w:val="0"/>
          <w:numId w:val="1"/>
        </w:numPr>
        <w:spacing w:after="60"/>
      </w:pPr>
      <w:r>
        <w:rPr>
          <w:b/>
          <w:bCs/>
        </w:rPr>
        <w:t xml:space="preserve">megadja a helyét</w:t>
      </w:r>
      <w:r>
        <w:t xml:space="preserve">: a besorolás a kormányrendelet funkciókatalógusába kerül, tehát felülvizsgálható anélkül, hogy a törvényt kellene nyitni;</w:t>
      </w:r>
    </w:p>
    <w:p>
      <w:pPr>
        <w:pStyle w:val="ListParagraph"/>
        <w:numPr>
          <w:ilvl w:val="0"/>
          <w:numId w:val="1"/>
        </w:numPr>
        <w:spacing w:after="60"/>
      </w:pPr>
      <w:r>
        <w:rPr>
          <w:b/>
          <w:bCs/>
        </w:rPr>
        <w:t xml:space="preserve">előírja a tájékoztatást</w:t>
      </w:r>
      <w:r>
        <w:t xml:space="preserve">: bármi is a besorolás, a felhasználó a döntés pillanatában, érthetően megtudja, mi történik az adatával.</w:t>
      </w:r>
    </w:p>
    <w:p>
      <w:pPr>
        <w:spacing w:after="140"/>
        <w:jc w:val="both"/>
      </w:pPr>
      <w:r>
        <w:t xml:space="preserve">Amit </w:t>
      </w:r>
      <w:r>
        <w:rPr>
          <w:b/>
          <w:bCs/>
        </w:rPr>
        <w:t xml:space="preserve">nem</w:t>
      </w:r>
      <w:r>
        <w:t xml:space="preserve"> vállal, és amit a 14. fejezet nyitott kérdésként rögzít: az adatkörök tételes, mezőszintű besorolását, és annak eldöntését, hogy egy MI-szolgáltató mit tehet a kapott adattal a saját rendszerén belül.</w:t>
      </w:r>
    </w:p>
    <w:p>
      <w:pPr>
        <w:pBdr>
          <w:bottom w:val="single" w:color="B0B8C4" w:sz="6"/>
        </w:pBdr>
        <w:spacing w:after="200" w:before="200"/>
      </w:pPr>
      <w:r>
        <w:t xml:space="preserve"/>
      </w:r>
    </w:p>
    <w:p>
      <w:pPr>
        <w:pStyle w:val="Heading1"/>
        <w:spacing w:after="160" w:before="320"/>
      </w:pPr>
      <w:r>
        <w:t xml:space="preserve">9. Felelősségi 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b/>
                <w:bCs/>
                <w:sz w:val="18"/>
                <w:szCs w:val="18"/>
              </w:rPr>
              <w:t xml:space="preserve">önálló adatkezelő</w:t>
            </w:r>
            <w:r>
              <w:rPr>
                <w:sz w:val="18"/>
                <w:szCs w:val="18"/>
              </w:rPr>
              <w:t xml:space="preserve">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b/>
                <w:bCs/>
                <w:sz w:val="18"/>
                <w:szCs w:val="18"/>
              </w:rPr>
              <w:t xml:space="preserve">az intézmény adatfeldolgozója</w:t>
            </w:r>
            <w:r>
              <w:rPr>
                <w:sz w:val="18"/>
                <w:szCs w:val="18"/>
              </w:rPr>
              <w:t xml:space="preserve">,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rPr>
          <w:b/>
          <w:bCs/>
        </w:rPr>
        <w:t xml:space="preserve">A pedagógusi felhatalmazás nem személyes jog.</w:t>
      </w:r>
      <w:r>
        <w:t xml:space="preserve"> A pedagógus nem „kiadja” a munkaköri jogosultságát egy szoftvernek; az intézmény rendszeresít eszközt, amelyet a pedagógus a saját munkamenetéhez köt. Ha a pedagógus jogviszonya megszűnik vagy jogosultsága változik, a felhatalmazás automatikusan követi.</w:t>
      </w:r>
    </w:p>
    <w:p>
      <w:pPr>
        <w:spacing w:after="140"/>
        <w:jc w:val="both"/>
      </w:pPr>
      <w:r>
        <w:rPr>
          <w:b/>
          <w:bCs/>
        </w:rPr>
        <w:t xml:space="preserve">Az üzemeltető felelőssége a felületig terjed.</w:t>
      </w:r>
      <w:r>
        <w:t xml:space="preserve"> Azért, amit a felhatalmazott szoftver az adattal a kiadás után tesz, az üzemeltető nem felel. Ennek kimondása nélkül az üzemeltetőnek közvetlen érdeke fűződik ahhoz, hogy a nyitást ellehetetlenítse — a gyakorlatban ez a rendelkezés dönti el, hogy a jogszabály működni fog-e.</w:t>
      </w:r>
    </w:p>
    <w:p>
      <w:pPr>
        <w:spacing w:after="140"/>
        <w:jc w:val="both"/>
      </w:pPr>
      <w:r>
        <w:rPr>
          <w:b/>
          <w:bCs/>
        </w:rPr>
        <w:t xml:space="preserve">A kiadó felel a nyilatkozatáért.</w:t>
      </w:r>
      <w:r>
        <w:t xml:space="preserve"> Ha a továbbítási nyilatkozat valótlan, az a nyilvántartásból való törlést vonja maga után, és minden hozzá tartozó felhatalmazás megszűnik. Ez a szankció teszi a 8.2 pontot érvényesíthetővé.</w:t>
      </w:r>
    </w:p>
    <w:p>
      <w:pPr>
        <w:pBdr>
          <w:bottom w:val="single" w:color="B0B8C4" w:sz="6"/>
        </w:pBdr>
        <w:spacing w:after="200" w:before="200"/>
      </w:pPr>
      <w:r>
        <w:t xml:space="preserve"/>
      </w:r>
    </w:p>
    <w:p>
      <w:pPr>
        <w:pStyle w:val="Heading1"/>
        <w:spacing w:after="160" w:before="320"/>
      </w:pPr>
      <w:r>
        <w:t xml:space="preserve">10. Mit szeretnénk elérni?</w:t>
      </w:r>
    </w:p>
    <w:p>
      <w:pPr>
        <w:pStyle w:val="Heading2"/>
        <w:spacing w:after="160" w:before="320"/>
      </w:pPr>
      <w:r>
        <w:t xml:space="preserve">10.1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A korábbi változat „a hivatalos alkalmazásokban elérhető funkciók 100%-át” ígérte. Ezt visszavonjuk: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8.3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10.2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7.2 pont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10.3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 még egy felület legyen.</w:t>
      </w:r>
      <w:r>
        <w:t xml:space="preserve"> Ha az MI külön alkalmazásként érkezik, amelyet meg kell nyitni és amelybe kézzel kell bemásolni az adatot, akkor csak eggyel több rendszer lesz abban a sorban, amely már most is túl hosszú. Akkor lesz használható, ha </w:t>
      </w:r>
      <w:r>
        <w:rPr>
          <w:b/>
          <w:bCs/>
        </w:rPr>
        <w:t xml:space="preserve">hozzáfér a pedagógus által amúgy is használt rendszerekhez</w:t>
      </w:r>
      <w:r>
        <w:t xml:space="preserve">, és természetes nyelvű munkafelületet ad föléjük. Nem az embernek kell a rendszerekhez járnia; a rendszerek adata jön az emberhez.</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lemaradó tanulókat időben azonosítani</w:t>
      </w:r>
      <w:r>
        <w:t xml:space="preserve"> — a jegyek, hiányzások és határidők együttes mintázatából, mielőtt a probléma félévi bukássá érik;</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10.4 Cél 4: a felhasználó tudja, mi történik az adatával</w:t>
      </w:r>
    </w:p>
    <w:p>
      <w:pPr>
        <w:spacing w:after="140"/>
        <w:jc w:val="both"/>
      </w:pPr>
      <w:r>
        <w:rPr>
          <w:i/>
          <w:iCs/>
        </w:rPr>
        <w:t xml:space="preserve">Mérhető célok:</w:t>
      </w:r>
      <w:r>
        <w:t xml:space="preserve"> 2027. szeptember 1-jétől minden felhatalmazás a 8.2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11. Mi lenne a várható haszon?</w:t>
      </w:r>
    </w:p>
    <w:p>
      <w:pPr>
        <w:spacing w:after="140"/>
        <w:jc w:val="both"/>
      </w:pPr>
      <w:r>
        <w:rPr>
          <w:b/>
          <w:bCs/>
        </w:rPr>
        <w:t xml:space="preserve">Szülők és gondviselők.</w:t>
      </w:r>
      <w:r>
        <w:t xml:space="preserve"> Rövid táv (2027–2028): jelszóátadás nélkül, a KRÉTA-ban látható és visszavonható módon kapcsolhatják a választott asszisztensüket a gyermekük iskolai adataihoz — és a döntés pillanatában megtudják, hová kerül az adat. Nem kell újabb alkalmazást telepíteniük, és több gyerek esetén sem kell külön felületeket végigjárniuk: egy kérdés a már használt eszközükben mindkét gyerekre válaszol. Középtáv: a kevésbé gyakorlott digitális felhasználók és a nem magyar anyanyelvű családok is könnyebben követik gyermekük iskolai ügyeit; ez a 6.4 pont szerint feltételezés, amelyet a hatásmérésnek igazolnia kell.</w:t>
      </w:r>
    </w:p>
    <w:p>
      <w:pPr>
        <w:spacing w:after="140"/>
        <w:jc w:val="both"/>
      </w:pPr>
      <w:r>
        <w:rPr>
          <w:b/>
          <w:bCs/>
        </w:rPr>
        <w:t xml:space="preserve">Tanulók.</w:t>
      </w:r>
      <w:r>
        <w:t xml:space="preserve"> Rövid táv: a saját órarendjüket, feladataikat és határidőiket az általuk használt eszközökben kezelhetik. Középtáv: tanulástámogató alkalmazások építhetnek naprakész iskolai adatokra.</w:t>
      </w:r>
    </w:p>
    <w:p>
      <w:pPr>
        <w:spacing w:after="140"/>
        <w:jc w:val="both"/>
      </w:pPr>
      <w:r>
        <w:rPr>
          <w:b/>
          <w:bCs/>
        </w:rPr>
        <w:t xml:space="preserve">Pedagógusok.</w:t>
      </w:r>
      <w:r>
        <w:t xml:space="preserve"> Rövid táv (2028-tól): az intézmény által engedélyezett eszköz szabályosan kapcsolódhat; a kézi másolás helyére ellenőrizhető folyamat lép, és a pedagógus nem viseli személyesen a szabálytalan használat kockázatát. Középtáv: a 10.3 pontban felsorolt munkafolyamatok támogatása, a pilot által mért tényleges időnyereséggel.</w:t>
      </w:r>
    </w:p>
    <w:p>
      <w:pPr>
        <w:spacing w:after="140"/>
        <w:jc w:val="both"/>
      </w:pPr>
      <w:r>
        <w:rPr>
          <w:b/>
          <w:bCs/>
        </w:rPr>
        <w:t xml:space="preserve">Intézmények és fenntartók.</w:t>
      </w:r>
      <w:r>
        <w:t xml:space="preserve"> Rövid táv: először látják, milyen szoftverek férnek hozzá az általuk kezelt adatokhoz, és korlátozhatják azokat. Középtáv: az MI-eszközök beszerzése szállítófüggetlenné válik.</w:t>
      </w:r>
    </w:p>
    <w:p>
      <w:pPr>
        <w:spacing w:after="140"/>
        <w:jc w:val="both"/>
      </w:pPr>
      <w:r>
        <w:rPr>
          <w:b/>
          <w:bCs/>
        </w:rPr>
        <w:t xml:space="preserve">Hallgatók és oktatók.</w:t>
      </w:r>
      <w:r>
        <w:t xml:space="preserve"> Középtáv (2028-tól): a tanulmányi rendszerek adatai intézménytől függetlenül, egységes módon kezelhetők.</w:t>
      </w:r>
    </w:p>
    <w:p>
      <w:pPr>
        <w:spacing w:after="140"/>
        <w:jc w:val="both"/>
      </w:pPr>
      <w:r>
        <w:rPr>
          <w:b/>
          <w:bCs/>
        </w:rPr>
        <w:t xml:space="preserve">Hazai fejlesztők.</w:t>
      </w:r>
      <w:r>
        <w:t xml:space="preserve"> Középtáv: stabil, dokumentált felületre építhetnek, és a tisztább adatkezelés a jóváhagyó képernyőn versenyelőnnyé válik. Hosszú táv (2030-tól): a megoldások a hasonló nemzetközi szabványok mentén exportálhatók.</w:t>
      </w:r>
    </w:p>
    <w:p>
      <w:pPr>
        <w:spacing w:after="140"/>
        <w:jc w:val="both"/>
      </w:pPr>
      <w:r>
        <w:rPr>
          <w:b/>
          <w:bCs/>
        </w:rPr>
        <w:t xml:space="preserve">Rendszerüzemeltetők és az állam.</w:t>
      </w:r>
      <w:r>
        <w:t xml:space="preserve"> Rövid táv: a meglévő felület és a már OAuth-alapú belépési rendszer miatt a bevezetés a kliensregisztráció megnyitásából, egy felhatalmazáskezelő felületből, a nyilvántartás felállításából és a dokumentáció közzétételéből áll. A megkerülő megoldások okozta nem tervezett forgalom szabályozott, azonosítható forgalommá válik, és az üzemeltető felelőssége a 9. fejezet szerint egyértelművé válik. Középtáv: a pilot és a nyilvános hatásmérés alapján az oktatási digitalizáció eredménye mérhető.</w:t>
      </w:r>
    </w:p>
    <w:p>
      <w:pPr>
        <w:pBdr>
          <w:bottom w:val="single" w:color="B0B8C4" w:sz="6"/>
        </w:pBdr>
        <w:spacing w:after="200" w:before="200"/>
      </w:pPr>
      <w:r>
        <w:t xml:space="preserve"/>
      </w:r>
    </w:p>
    <w:p>
      <w:pPr>
        <w:pStyle w:val="Heading1"/>
        <w:spacing w:after="160" w:before="320"/>
      </w:pPr>
      <w:r>
        <w:t xml:space="preserve">12. Pontosan milyen változtatást javaslunk?</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fokozottan védettként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azért az adatkezelésért, amelyet a felhatalmazott szoftver kiadója az adat átadását követően, saját adatkezelőként végez.”</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p>
    <w:p>
      <w:pPr>
        <w:pStyle w:val="ListParagraph"/>
        <w:numPr>
          <w:ilvl w:val="0"/>
          <w:numId w:val="1"/>
        </w:numPr>
        <w:spacing w:after="60"/>
      </w:pPr>
      <w:r>
        <w:rPr>
          <w:i/>
          <w:iCs/>
        </w:rPr>
        <w:t xml:space="preserve">1. szint:</w:t>
      </w:r>
      <w:r>
        <w:t xml:space="preserve"> önkiszolgáló, dinamikus kliensregisztráció (RFC 7591), egyedi engedélyezési eljárás nélkül; kizárólag olvasás az érintett saját adatkörében, az alapadatkörben; kérésszám-korlát és rövid tokenélettartam; a jóváhagyó képernyő jelzi, hogy a kiadó nincs átvilágítva.</w:t>
      </w:r>
    </w:p>
    <w:p>
      <w:pPr>
        <w:pStyle w:val="ListParagraph"/>
        <w:numPr>
          <w:ilvl w:val="0"/>
          <w:numId w:val="1"/>
        </w:numPr>
        <w:spacing w:after="60"/>
      </w:pPr>
      <w:r>
        <w:rPr>
          <w:i/>
          <w:iCs/>
        </w:rPr>
        <w:t xml:space="preserve">2. szint:</w:t>
      </w:r>
      <w:r>
        <w:t xml:space="preserve"> azonosított kiadó, aláírt szoftvernyilatkozat, bizalmas kliens aszimmetrikus kulcsú hitelesítéssel, birtokláshoz kötött hozzáférési token; műveletvégzés az érintett saját adatkörében, valamint pedagógusi és oktatói olvasás.</w:t>
      </w:r>
    </w:p>
    <w:p>
      <w:pPr>
        <w:pStyle w:val="ListParagraph"/>
        <w:numPr>
          <w:ilvl w:val="0"/>
          <w:numId w:val="1"/>
        </w:numPr>
        <w:spacing w:after="60"/>
      </w:pPr>
      <w:r>
        <w:rPr>
          <w:i/>
          <w:iCs/>
        </w:rPr>
        <w:t xml:space="preserve">3. szint:</w:t>
      </w:r>
      <w:r>
        <w:t xml:space="preserve"> a 2. szint feltételei, valamint érvényes adatfeldolgozói szerződés és intézményi engedélyezés; emelt biztonsági profil (FAPI 2.0 Security Profile) vagy azzal egyenértékű megoldás és kliensattesztáció; műveletvégzés intézményi feladatkörben.</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fokozottan védett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6.2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13.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 nem feltételezés.</w:t>
      </w:r>
    </w:p>
    <w:p>
      <w:pPr>
        <w:pBdr>
          <w:bottom w:val="single" w:color="B0B8C4" w:sz="6"/>
        </w:pBdr>
        <w:spacing w:after="200" w:before="200"/>
      </w:pPr>
      <w:r>
        <w:t xml:space="preserve"/>
      </w:r>
    </w:p>
    <w:p>
      <w:pPr>
        <w:pStyle w:val="Heading1"/>
        <w:spacing w:after="160" w:before="320"/>
      </w:pPr>
      <w:r>
        <w:t xml:space="preserve">14.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8.3 pont megadja a három kategóriát és az alapértelmezést, de a besorolás elvégzése önálló, jelentős szakmai munka.</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fokozottan védett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Az előterjesztés készítője a 4.3 pontban leírt szolgáltatás üzemeltetője. A javaslat elfogadása ezt a szolgáltatást a jelenlegi formájában feleslegessé teszi, de a jövőbeli piacon az előterjesztő is szereplő lehet.</w:t>
      </w:r>
    </w:p>
    <w:p>
      <w:pPr>
        <w:pBdr>
          <w:bottom w:val="single" w:color="B0B8C4" w:sz="6"/>
        </w:pBdr>
        <w:spacing w:after="200" w:before="200"/>
      </w:pPr>
      <w:r>
        <w:t xml:space="preserve"/>
      </w:r>
    </w:p>
    <w:p>
      <w:pPr>
        <w:pStyle w:val="Heading1"/>
        <w:spacing w:after="160" w:before="320"/>
      </w:pPr>
      <w:r>
        <w:t xml:space="preserve">15.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2026-09-16T13:27:06.328Z</dcterms:created>
  <dcterms:modified xsi:type="dcterms:W3CDTF">2026-09-16T13:27:06.338Z</dcterms:modified>
</cp:coreProperties>
</file>

<file path=docProps/custom.xml><?xml version="1.0" encoding="utf-8"?>
<Properties xmlns="http://schemas.openxmlformats.org/officeDocument/2006/custom-properties" xmlns:vt="http://schemas.openxmlformats.org/officeDocument/2006/docPropsVTypes"/>
</file>