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spacing w:after="140"/>
        <w:jc w:val="both"/>
      </w:pPr>
      <w:r>
        <w:rPr>
          <w:i/>
          <w:iCs/>
        </w:rPr>
        <w:t xml:space="preserve">Törzsanyag. A bizalmi, felhasználási, felelősségi és részletes jogi fejezeteket a külön melléklet tartalmazza.</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spacing w:after="140"/>
        <w:jc w:val="both"/>
      </w:pPr>
      <w:r>
        <w:rPr>
          <w:b/>
          <w:bCs/>
        </w:rPr>
        <w:t xml:space="preserve">Módszer.</w:t>
      </w:r>
      <w:r>
        <w:t xml:space="preserve"> Ez az előterjesztés nem jogforrásból, hanem </w:t>
      </w:r>
      <w:r>
        <w:rPr>
          <w:b/>
          <w:bCs/>
        </w:rPr>
        <w:t xml:space="preserve">egy működő implementációból</w:t>
      </w:r>
      <w:r>
        <w:t xml:space="preserve"> indult. Az Üzenőfüzet nyílt forráskódú szolgáltatás ma ténylegesen összeköti a szülők MI-asszisztensét a KRÉTA-val, és a javaslat réseit ebből a működésből vezettük le: minden megkerülő megoldás, amelyre a szolgáltatás rákényszerül, egy-egy hiányzó szabályt nevez meg (1.6). A funkciókatalógus vázlata is így készült, a szolgáltatás valós végpontlistájából. A hiánylista tehát nem elméleti, és a javasolt besorolás húsz valós végponton kipróbálható.</w:t>
      </w:r>
    </w:p>
    <w:p>
      <w:pPr>
        <w:spacing w:after="140"/>
        <w:jc w:val="both"/>
      </w:pPr>
      <w:r>
        <w:rPr>
          <w:b/>
          <w:bCs/>
        </w:rPr>
        <w:t xml:space="preserve">Testvéranyag.</w:t>
      </w:r>
      <w:r>
        <w:t xml:space="preserve"> Az „AI-Ország: szabad tananyag" előterjesztés ugyanennek az oktatási pilotnak a másik felét írja le, és a két anyag tárgya nem fedi egymást. A tananyag azt adja meg, </w:t>
      </w:r>
      <w:r>
        <w:rPr>
          <w:b/>
          <w:bCs/>
        </w:rPr>
        <w:t xml:space="preserve">mit tud</w:t>
      </w:r>
      <w:r>
        <w:t xml:space="preserve"> egy oktatási MI; ez az anyag azt, hogy </w:t>
      </w:r>
      <w:r>
        <w:rPr>
          <w:b/>
          <w:bCs/>
        </w:rPr>
        <w:t xml:space="preserve">kiről és mire</w:t>
      </w:r>
      <w:r>
        <w:t xml:space="preserve"> használhatja. Amaz közpénzből előállított művek nyílt licencéről szól és kifejezetten kizárja a személyes adatokat; emez kizárólag személyes adatról, és annak felhatalmazáson alapuló eléréséről.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Style w:val="ListParagraph"/>
        <w:numPr>
          <w:ilvl w:val="0"/>
          <w:numId w:val="1"/>
        </w:numPr>
        <w:spacing w:after="60"/>
      </w:pPr>
      <w:r>
        <w:rPr>
          <w:b/>
          <w:bCs/>
        </w:rPr>
        <w:t xml:space="preserve">Nem állítjuk, hogy a rendszerek jelenlegi működése jogsértő.</w:t>
      </w:r>
      <w:r>
        <w:t xml:space="preserve"> A javaslat egy új csatornára vonatkozó szabályozást kér, nem a hatályos gyakorlat minősítését. Ahol a melléklet M4.3 pontja szerinti besorolás szűkebb annál, mint amit a hivatalos felület ma megjelenít, az azért van, mert </w:t>
      </w:r>
      <w:r>
        <w:rPr>
          <w:b/>
          <w:bCs/>
        </w:rPr>
        <w:t xml:space="preserve">az automatizált, ismételt lekérdezés más kitettséget jelent, mint az alkalmi kézi megtekintés</w:t>
      </w:r>
      <w:r>
        <w:t xml:space="preserve"> — nem azért, mert a mai megjelenítést jogellenesnek tartanánk. Ennek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Probléma</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Melléklet, M3.</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Melléklet, M4.</w:t>
            </w:r>
          </w:p>
        </w:tc>
      </w:tr>
    </w:tbl>
    <w:p>
      <w:pPr>
        <w:spacing w:after="160"/>
      </w:pPr>
      <w:r>
        <w:t xml:space="preserve"/>
      </w:r>
    </w:p>
    <w:p>
      <w:pPr>
        <w:spacing w:after="140"/>
        <w:jc w:val="both"/>
      </w:pPr>
      <w:r>
        <w:t xml:space="preserve">A második réteg nélkül a javaslat a valódi kockázatot hagyná szabályozatlanul. Mindkét réteget a melléklet fejti ki.</w:t>
      </w:r>
    </w:p>
    <w:p>
      <w:pPr>
        <w:pBdr>
          <w:bottom w:val="single" w:color="B0B8C4" w:sz="6"/>
        </w:pBdr>
        <w:spacing w:after="200" w:before="200"/>
      </w:pPr>
      <w:r>
        <w:t xml:space="preserve"/>
      </w:r>
    </w:p>
    <w:p>
      <w:pPr>
        <w:pStyle w:val="Heading2"/>
        <w:spacing w:after="160" w:before="320"/>
      </w:pPr>
      <w:r>
        <w:t xml:space="preserve">1.4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1.5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3.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1.6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szolgáltatás, amelyet az előterjesztés készítője üzemeltet, és amely a szülők MI-asszisztensét köti össze a KRÉTA-val. Ehhez ma kénytelen:</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Az Üzenőfüzet célja, hogy ez a közvetítő szerep ebben a formában feleslegessé váljon.</w:t>
      </w:r>
      <w:r>
        <w:t xml:space="preserve"> Az előterjesztő érdekeltségét itt jelezzük: a javaslat elfogadása a saját szolgáltatásunk jelenlegi működési modelljét szünteti meg.</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melléklet M4. fejezete erre ad szabályt.</w:t>
      </w:r>
    </w:p>
    <w:p>
      <w:pPr>
        <w:pStyle w:val="Heading2"/>
        <w:spacing w:after="160" w:before="320"/>
      </w:pPr>
      <w:r>
        <w:t xml:space="preserve">1.7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4.3).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2. Előzmények</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a melléklet M2.6 pontját).</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melléklet M2.4 pontjában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3. Okozott kár</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3.1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3.2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8. fejezet nyitott kérdésként rögzíti.</w:t>
      </w:r>
    </w:p>
    <w:p>
      <w:pPr>
        <w:pStyle w:val="Heading2"/>
        <w:spacing w:after="160" w:before="320"/>
      </w:pPr>
      <w:r>
        <w:t xml:space="preserve">3.2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6./IV.),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3.3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3.4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3.5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(1.4). A meglévő megoldások egy rendszerfrissítéssel megszűnhetnek. Hogy ez konkrétan hány vállalkozást tartott vissza, arról nincs felmérés; a mechanizmus azonban az 1.6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4. Megoldási célok</w:t>
      </w:r>
    </w:p>
    <w:p>
      <w:pPr>
        <w:pStyle w:val="Heading2"/>
        <w:spacing w:after="160" w:before="320"/>
      </w:pPr>
      <w:r>
        <w:t xml:space="preserve">4.1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melléklet M4.3 pontja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4.2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melléklet M3.2 pontja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4.3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4.4 Cél 4: a felhasználó tudja, mi történik az adatával</w:t>
      </w:r>
    </w:p>
    <w:p>
      <w:pPr>
        <w:spacing w:after="140"/>
        <w:jc w:val="both"/>
      </w:pPr>
      <w:r>
        <w:rPr>
          <w:i/>
          <w:iCs/>
        </w:rPr>
        <w:t xml:space="preserve">Mérhető célok:</w:t>
      </w:r>
      <w:r>
        <w:t xml:space="preserve"> 2027. szeptember 1-jétől minden felhatalmazás a melléklet M4.2 pontja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5.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(3.4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4.3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melléklet M5. fejezete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8. fejezet nyitott kérdésként kezeli.</w:t>
      </w:r>
    </w:p>
    <w:p>
      <w:pPr>
        <w:pBdr>
          <w:bottom w:val="single" w:color="B0B8C4" w:sz="6"/>
        </w:pBdr>
        <w:spacing w:after="200" w:before="200"/>
      </w:pPr>
      <w:r>
        <w:t xml:space="preserve"/>
      </w:r>
    </w:p>
    <w:p>
      <w:pPr>
        <w:pStyle w:val="Heading1"/>
        <w:spacing w:after="160" w:before="320"/>
      </w:pPr>
      <w:r>
        <w:t xml:space="preserve">6. Pontos szakpolitikai változás</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melléklet M3.1 pontja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3.2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7.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8.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melléklet M4.3 pontja megadja a három kategóriát és az alapértelmezést; a besorolás elvégzése önálló, jelentős szakmai munka. A szülői és tanulói </w:t>
      </w:r>
      <w:r>
        <w:rPr>
          <w:b/>
          <w:bCs/>
        </w:rPr>
        <w:t xml:space="preserve">olvasási</w:t>
      </w:r>
      <w:r>
        <w:t xml:space="preserve"> funkciókra készült egy első vázlat (külön melléklet),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Az előterjesztés készítője az 1.6 pontban leírt szolgáltatás üzemeltetője. A javaslat elfogadása ezt a szolgáltatást a jelenlegi formájában feleslegessé teszi, de a jövőbeli piacon az előterjesztő is szereplő lehet.</w:t>
      </w:r>
    </w:p>
    <w:p>
      <w:pPr>
        <w:pBdr>
          <w:bottom w:val="single" w:color="B0B8C4" w:sz="6"/>
        </w:pBdr>
        <w:spacing w:after="200" w:before="200"/>
      </w:pPr>
      <w:r>
        <w:t xml:space="preserve"/>
      </w:r>
    </w:p>
    <w:p>
      <w:pPr>
        <w:pStyle w:val="Heading1"/>
        <w:spacing w:after="160" w:before="320"/>
      </w:pPr>
      <w:r>
        <w:t xml:space="preserve">9.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2026-09-25T08:21:44.651Z</dcterms:created>
  <dcterms:modified xsi:type="dcterms:W3CDTF">2026-09-25T08:21:44.651Z</dcterms:modified>
</cp:coreProperties>
</file>

<file path=docProps/custom.xml><?xml version="1.0" encoding="utf-8"?>
<Properties xmlns="http://schemas.openxmlformats.org/officeDocument/2006/custom-properties" xmlns:vt="http://schemas.openxmlformats.org/officeDocument/2006/docPropsVTypes"/>
</file>