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t xml:space="preserve">Kommentek az „AI-Ország: szabad tananyag" előterjesztéshez</w:t>
      </w:r>
    </w:p>
    <w:p>
      <w:pPr>
        <w:spacing w:after="140"/>
        <w:jc w:val="both"/>
      </w:pPr>
      <w:r>
        <w:rPr>
          <w:i/>
          <w:iCs/>
        </w:rPr>
        <w:t xml:space="preserve">Kollegiális észrevételek. A mi anyagunk átment egy tizenkét pontos, szándékosan ellenséges szakmai bíráláson és négy javítási körön; az alábbiak nagy része annak a bírálatnak a pontjait alkalmazza erre a szövegre. Tehát nem kritika, hanem </w:t>
      </w:r>
      <w:r>
        <w:rPr>
          <w:i/>
          <w:iCs/>
        </w:rPr>
        <w:t xml:space="preserve">előrejelzés arról, mit fognak számon kérni</w:t>
      </w:r>
      <w:r>
        <w:rPr>
          <w:i/>
          <w:iCs/>
        </w:rPr>
        <w:t xml:space="preserve"> — és készen kapott ellenőrzőlista.</w:t>
      </w:r>
    </w:p>
    <w:p>
      <w:pPr>
        <w:spacing w:after="140"/>
        <w:jc w:val="both"/>
      </w:pPr>
      <w:r>
        <w:rPr>
          <w:i/>
          <w:iCs/>
        </w:rPr>
        <w:t xml:space="preserve">Jelölés:</w:t>
      </w:r>
      <w:r>
        <w:t xml:space="preserve"> </w:t>
      </w:r>
      <w:r>
        <w:rPr>
          <w:b/>
          <w:bCs/>
        </w:rPr>
        <w:t xml:space="preserve">[É]</w:t>
      </w:r>
      <w:r>
        <w:t xml:space="preserve"> érdemi, a javaslat védhetőségét érinti · </w:t>
      </w:r>
      <w:r>
        <w:rPr>
          <w:b/>
          <w:bCs/>
        </w:rPr>
        <w:t xml:space="preserve">[SZ]</w:t>
      </w:r>
      <w:r>
        <w:t xml:space="preserve"> szerkezeti · </w:t>
      </w:r>
      <w:r>
        <w:rPr>
          <w:b/>
          <w:bCs/>
        </w:rPr>
        <w:t xml:space="preserve">[P]</w:t>
      </w:r>
      <w:r>
        <w:t xml:space="preserve"> pontosítás.</w:t>
      </w:r>
    </w:p>
    <w:p>
      <w:pPr>
        <w:pBdr>
          <w:bottom w:val="single" w:color="B0B8C4" w:sz="6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t xml:space="preserve">Absztrakt</w:t>
      </w:r>
    </w:p>
    <w:p>
      <w:pPr>
        <w:spacing w:after="140"/>
        <w:jc w:val="both"/>
      </w:pPr>
      <w:r>
        <w:rPr>
          <w:b/>
          <w:bCs/>
        </w:rPr>
        <w:t xml:space="preserve">K1 [É] — „évi több tíz milliárd forintos hazai értékteremtés".</w:t>
      </w:r>
      <w:r>
        <w:t xml:space="preserve"> A szöveg sehol nem vezeti le. Ez pontosan az a hiba, amelyet a mi anyagunkon a bírálat tizedik pontja talált el, és a javítás ott kétirányú volt: a számokat forrással pótolni </w:t>
      </w:r>
      <w:r>
        <w:rPr>
          <w:b/>
          <w:bCs/>
        </w:rPr>
        <w:t xml:space="preserve">és egyben kisebbre venni, amit ígérünk</w:t>
      </w:r>
      <w:r>
        <w:t xml:space="preserve">. Javaslat: vagy levezetés a bemenetek megnevezésével, vagy a szám kivétele az absztraktból. Egy alátámasztatlan forintösszeg az egész gazdasági érvelést gyengíti, nem erősíti.</w:t>
      </w:r>
    </w:p>
    <w:p>
      <w:pPr>
        <w:spacing w:after="140"/>
        <w:jc w:val="both"/>
      </w:pPr>
      <w:r>
        <w:rPr>
          <w:b/>
          <w:bCs/>
        </w:rPr>
        <w:t xml:space="preserve">K2 [SZ] — az absztrakt és a hatókör nem fedi egymást.</w:t>
      </w:r>
      <w:r>
        <w:t xml:space="preserve"> Az absztrakt a teljes Közszolgáltatási Adat- és API-keretrendszerről szól (közlekedési, oktatási és energetikai pilot, 2028-tól teljes nyitás), a következő mondat viszont az oktatási pilotra szűkít. Az olvasó nem tudja, melyik anyagot tartja a kezében. Javaslat: az absztrakt is a tananyagra szűküljön, egy mondattal utalva a szülőprogramra.</w:t>
      </w:r>
    </w:p>
    <w:p>
      <w:pPr>
        <w:spacing w:after="140"/>
        <w:jc w:val="both"/>
      </w:pPr>
      <w:r>
        <w:rPr>
          <w:b/>
          <w:bCs/>
        </w:rPr>
        <w:t xml:space="preserve">K3 [É] — a legerősebb érv nincs az absztraktban.</w:t>
      </w:r>
      <w:r>
        <w:t xml:space="preserve"> Hogy a tananyagfejlesztés zömét már kifizette a magyar adófizető, és csak a felhasználási jogok nyílt licencre állítása hiányzik — ez a javaslat legmeggyőzőbb mondata, mert azt mondja, hogy a megoldás majdnem ingyen van. Érdemes előrehozni.</w:t>
      </w:r>
    </w:p>
    <w:p>
      <w:pPr>
        <w:pStyle w:val="Heading1"/>
        <w:spacing w:after="160" w:before="320"/>
      </w:pPr>
      <w:r>
        <w:t xml:space="preserve">Probléma</w:t>
      </w:r>
    </w:p>
    <w:p>
      <w:pPr>
        <w:spacing w:after="140"/>
        <w:jc w:val="both"/>
      </w:pPr>
      <w:r>
        <w:rPr>
          <w:b/>
          <w:bCs/>
        </w:rPr>
        <w:t xml:space="preserve">K4 [É] — a NAT és az Szjt. megkülönböztetése kiváló.</w:t>
      </w:r>
      <w:r>
        <w:t xml:space="preserve"> Hogy a NAT a 110/2012. Korm. rendelet melléklete, ezért eleve nem áll szerzői jogi védelem alatt, tehát ott nem licencre hanem gépi olvasható közzétételre van szükség: ez éles és helyes. Ez a dokumentum legjobb jogi mozdulata. Javaslat: ne a probléma közepén, hanem kiemelten szerepeljen.</w:t>
      </w:r>
    </w:p>
    <w:p>
      <w:pPr>
        <w:spacing w:after="140"/>
        <w:jc w:val="both"/>
      </w:pPr>
      <w:r>
        <w:rPr>
          <w:b/>
          <w:bCs/>
        </w:rPr>
        <w:t xml:space="preserve">K5 [P] — „jogállása felhasználói szemmel tisztázatlan".</w:t>
      </w:r>
      <w:r>
        <w:t xml:space="preserve"> Egy konkrét példa sokat segítene: egy megnevezett NKP-tartalom és a hozzá tartozó felhasználási feltétel szövege, lekérdezési dátummal. E nélkül a mondatra rá lehet kérdezni, hogy „mi alapján?".</w:t>
      </w:r>
    </w:p>
    <w:p>
      <w:pPr>
        <w:pStyle w:val="Heading1"/>
        <w:spacing w:after="160" w:before="320"/>
      </w:pPr>
      <w:r>
        <w:t xml:space="preserve">Előzmények</w:t>
      </w:r>
    </w:p>
    <w:p>
      <w:pPr>
        <w:spacing w:after="140"/>
        <w:jc w:val="both"/>
      </w:pPr>
      <w:r>
        <w:rPr>
          <w:b/>
          <w:bCs/>
        </w:rPr>
        <w:t xml:space="preserve">K6 [P] — OPEN Government Data Act dátuma.</w:t>
      </w:r>
      <w:r>
        <w:t xml:space="preserve"> A törvény a 2018-as Foundations for Evidence-Based Policymaking Act II. címe, de az aláírás 2019. január 14-én történt. A „2018-ban" a törvény nevére igaz, a hatálybalépésre nem.</w:t>
      </w:r>
    </w:p>
    <w:p>
      <w:pPr>
        <w:spacing w:after="140"/>
        <w:jc w:val="both"/>
      </w:pPr>
      <w:r>
        <w:rPr>
          <w:b/>
          <w:bCs/>
        </w:rPr>
        <w:t xml:space="preserve">K7 [É] — az adatrendelet státusza ellentmond a testvéranyagnak.</w:t>
      </w:r>
      <w:r>
        <w:t xml:space="preserve"> Itt az (EU) 2023/2854 a beérő uniós adatjog láncszemeként szerepel. A mi anyagunk viszont kifejezetten helyesbít: a rendelet II. fejezete összekapcsolt termékekre és kapcsolódó szolgáltatásokra vonatkozik, a tanulmányi nyilvántartásra nem, ezért jogpolitikai irányjelző és </w:t>
      </w:r>
      <w:r>
        <w:rPr>
          <w:b/>
          <w:bCs/>
        </w:rPr>
        <w:t xml:space="preserve">nem jogalap</w:t>
      </w:r>
      <w:r>
        <w:t xml:space="preserve">. Ha a két anyag egy csomagban megy, egy bíráló ezt az eltérést azonnal megtalálja. Egységes álláspont kell — nálunk a helyesbítés indoka a 2.4 pontban áll.</w:t>
      </w:r>
    </w:p>
    <w:p>
      <w:pPr>
        <w:spacing w:after="140"/>
        <w:jc w:val="both"/>
      </w:pPr>
      <w:r>
        <w:rPr>
          <w:b/>
          <w:bCs/>
        </w:rPr>
        <w:t xml:space="preserve">K8 [P] — az EHDS-re érdemes kölcsönösen hivatkozni.</w:t>
      </w:r>
      <w:r>
        <w:t xml:space="preserve"> Itt a másodlagos felhasználási rendszer és az adathozzáférési szerv miatt szerepel, nálunk azért, mert ágazati jogszabály hozhat létre elektronikus hozzáférési jogot közfeladaton alapuló nyilvántartásban. A két olvasat nem mond ellent, hanem erősíti egymást.</w:t>
      </w:r>
    </w:p>
    <w:p>
      <w:pPr>
        <w:pStyle w:val="Heading1"/>
        <w:spacing w:after="160" w:before="320"/>
      </w:pPr>
      <w:r>
        <w:t xml:space="preserve">Okozott kár</w:t>
      </w:r>
    </w:p>
    <w:p>
      <w:pPr>
        <w:spacing w:after="140"/>
        <w:jc w:val="both"/>
      </w:pPr>
      <w:r>
        <w:rPr>
          <w:b/>
          <w:bCs/>
        </w:rPr>
        <w:t xml:space="preserve">K9 [É] — hipotézis tényként.</w:t>
      </w:r>
      <w:r>
        <w:t xml:space="preserve"> „A magyar tanuló idegen tantervi logikára, idegen példaanyagra és idegen szövegkultúrára tanított eszközön fog tanulni." Plauzibilis, de nincs alátámasztva. A mi anyagunkon a bírálat kilencedik pontja pontosan ezt találta el, és a javítás nem az állítás törlése volt, hanem a megjelölése: a kár-fejezet minden alfejezete a címében jelzi, hogy dokumentált tény, levezetett becslés vagy feltételezés. Egy vállalt feltételezés erősebb, mint egy leleplezett tény.</w:t>
      </w:r>
    </w:p>
    <w:p>
      <w:pPr>
        <w:spacing w:after="140"/>
        <w:jc w:val="both"/>
      </w:pPr>
      <w:r>
        <w:rPr>
          <w:b/>
          <w:bCs/>
        </w:rPr>
        <w:t xml:space="preserve">K10 [É] — az időzítési érv jó, de egy dátumozott tényt kíván.</w:t>
      </w:r>
      <w:r>
        <w:t xml:space="preserve"> Hogy a kár „most, 2026–2027-ben keletkezik", erős keret. Egy konkrét, dátumozott hivatkozás — melyik nemzetközi oktatási termék, mikor jelent meg, elérhető-e magyarul — a fejezet legjobban védhető mondatává tenné.</w:t>
      </w:r>
    </w:p>
    <w:p>
      <w:pPr>
        <w:spacing w:after="140"/>
        <w:jc w:val="both"/>
      </w:pPr>
      <w:r>
        <w:rPr>
          <w:b/>
          <w:bCs/>
        </w:rPr>
        <w:t xml:space="preserve">K11 [SZ] — a kár és a mérés nincs összekötve.</w:t>
      </w:r>
      <w:r>
        <w:t xml:space="preserve"> A javaslat később (42/2718. pont) előír nyilvános hatásmérést. Érdemes már a kár-fejezetben jelezni, hogy a most feltételezésként állított károk közül melyiket fogja ez a mérés igazolni vagy cáfolni.</w:t>
      </w:r>
    </w:p>
    <w:p>
      <w:pPr>
        <w:pStyle w:val="Heading1"/>
        <w:spacing w:after="160" w:before="320"/>
      </w:pPr>
      <w:r>
        <w:t xml:space="preserve">Megoldási célok</w:t>
      </w:r>
    </w:p>
    <w:p>
      <w:pPr>
        <w:spacing w:after="140"/>
        <w:jc w:val="both"/>
      </w:pPr>
      <w:r>
        <w:rPr>
          <w:b/>
          <w:bCs/>
        </w:rPr>
        <w:t xml:space="preserve">K12 [É] — tizenkét cél, mérhető célérték és határidő nélkül.</w:t>
      </w:r>
      <w:r>
        <w:t xml:space="preserve"> A mi anyagunkban négy cél van, mindegyikhez dátumozott, mérhető célérték. Javaslat: négy-öt valódi cél dátummal, a többi kerüljön át a várható haszon vagy a lehetővé tett alkalmazások közé.</w:t>
      </w:r>
    </w:p>
    <w:p>
      <w:pPr>
        <w:spacing w:after="140"/>
        <w:jc w:val="both"/>
      </w:pPr>
      <w:r>
        <w:rPr>
          <w:b/>
          <w:bCs/>
        </w:rPr>
        <w:t xml:space="preserve">K13 [SZ] — a Cél7 nem cél, hanem probléma.</w:t>
      </w:r>
      <w:r>
        <w:t xml:space="preserve"> „A tantervi elemek közötti kapcsolatok láthatatlansága." Átfogalmazandó arra, amit el akarunk érni.</w:t>
      </w:r>
    </w:p>
    <w:p>
      <w:pPr>
        <w:spacing w:after="140"/>
        <w:jc w:val="both"/>
      </w:pPr>
      <w:r>
        <w:rPr>
          <w:b/>
          <w:bCs/>
        </w:rPr>
        <w:t xml:space="preserve">K14 [SZ] — két különböző szint keveredik.</w:t>
      </w:r>
      <w:r>
        <w:t xml:space="preserve"> A Cél1–5 arról szól, mit vállal az állam (közzététel, adatmodell, hitelesség, interoperabilitás, párhuzamosságok csökkentése). A Cél6–11 arról, mit tudnak majd csinálni mások (óratervezés, személyre szabás, akadálymentesség, szakpolitikai visszacsatolás). Az első az előterjesztés vállalása, a második a remélt hatás. Javaslat: két külön lista, „Amit az állam vállal" és „Amit ez lehetővé tesz".</w:t>
      </w:r>
    </w:p>
    <w:p>
      <w:pPr>
        <w:spacing w:after="140"/>
        <w:jc w:val="both"/>
      </w:pPr>
      <w:r>
        <w:rPr>
          <w:b/>
          <w:bCs/>
        </w:rPr>
        <w:t xml:space="preserve">K15 [É] — a Cél12 valójában a munkamegosztás határa.</w:t>
      </w:r>
      <w:r>
        <w:t xml:space="preserve"> „A személyes adatok kizárása" nem cél, hanem az a vonal, ahol ez az anyag véget ér és a testvéranyag kezdődik. Érdemes így nevezni, mert ettől a két anyag egymást erősíti ahelyett, hogy hallgatna a másikról.</w:t>
      </w:r>
    </w:p>
    <w:p>
      <w:pPr>
        <w:pStyle w:val="Heading1"/>
        <w:spacing w:after="160" w:before="320"/>
      </w:pPr>
      <w:r>
        <w:t xml:space="preserve">Várható haszon</w:t>
      </w:r>
    </w:p>
    <w:p>
      <w:pPr>
        <w:spacing w:after="140"/>
        <w:jc w:val="both"/>
      </w:pPr>
      <w:r>
        <w:rPr>
          <w:b/>
          <w:bCs/>
        </w:rPr>
        <w:t xml:space="preserve">K16 [É] — a legjobb érv el van temetve.</w:t>
      </w:r>
      <w:r>
        <w:t xml:space="preserve"> Hogy a tananyag-sáv jogi döntés, ezért külön infrastruktúra nélkül, 2026 végéig lezárható — ez a dokumentum legerősebb üzenete egy döntéshozónak. Javaslat: az absztraktba és a haszon-fejezet élére.</w:t>
      </w:r>
    </w:p>
    <w:p>
      <w:pPr>
        <w:spacing w:after="140"/>
        <w:jc w:val="both"/>
      </w:pPr>
      <w:r>
        <w:rPr>
          <w:b/>
          <w:bCs/>
        </w:rPr>
        <w:t xml:space="preserve">K17 [SZ] — a számozásból kimaradt a 6.</w:t>
      </w:r>
      <w:r>
        <w:t xml:space="preserve"> A felsorolás 1., 2., 3., 4., 5., 7., 8.</w:t>
      </w:r>
    </w:p>
    <w:p>
      <w:pPr>
        <w:pStyle w:val="Heading1"/>
        <w:spacing w:after="160" w:before="320"/>
      </w:pPr>
      <w:r>
        <w:t xml:space="preserve">Pontos szakpolitikai változás</w:t>
      </w:r>
    </w:p>
    <w:p>
      <w:pPr>
        <w:spacing w:after="140"/>
        <w:jc w:val="both"/>
      </w:pPr>
      <w:r>
        <w:rPr>
          <w:b/>
          <w:bCs/>
        </w:rPr>
        <w:t xml:space="preserve">K18 [SZ] — a szakaszok számozása sérült.</w:t>
      </w:r>
      <w:r>
        <w:t xml:space="preserve"> I., II., majd IV., majd VIII.; a III., V., VI. és VII. hiányzik. A bekezdésszámok helyenként összeolvadtak: „2510.", „2611.", „2712.", „402516.", „412617.", „422718.". Ez láthatóan a szülődokumentumból való átemelés nyoma. Munkacsoport elé így nem érdemes vinni — vagy a hiányzó szakaszok pótlandók, vagy a számozás újrakezdendő.</w:t>
      </w:r>
    </w:p>
    <w:p>
      <w:pPr>
        <w:spacing w:after="140"/>
        <w:jc w:val="both"/>
      </w:pPr>
      <w:r>
        <w:rPr>
          <w:b/>
          <w:bCs/>
        </w:rPr>
        <w:t xml:space="preserve">K19 [É] — hatókör-csúszás, ez a legnagyobb szerkezeti kérdés.</w:t>
      </w:r>
      <w:r>
        <w:t xml:space="preserve"> A cím és a bevezető a tananyagra szűkít, a 9–23. és a 43–50. pont viszont az általános keretrendszerről szól: föderáció, technológiasemlegesség, cserélhetőség, beszállítófüggőség, digitális szuverenitás, kilépési terv. Ez nagyjából a terjedelem fele, és nem tananyagról szól. Két lehetőség: a cím tágítása, vagy ez a blokk vissza a szülődokumentumba, és innen egy bekezdésnyi hivatkozás marad rá. A második tisztább, mert a tananyag-érv önmagában is megáll, és pont attól erős, hogy olcsó és gyors.</w:t>
      </w:r>
    </w:p>
    <w:p>
      <w:pPr>
        <w:spacing w:after="140"/>
        <w:jc w:val="both"/>
      </w:pPr>
      <w:r>
        <w:rPr>
          <w:b/>
          <w:bCs/>
        </w:rPr>
        <w:t xml:space="preserve">K20 [SZ] — ismétlés a szuverenitási blokkon belül.</w:t>
      </w:r>
      <w:r>
        <w:t xml:space="preserve"> A 14., a 20–22. és a 43–50. pont nagyrészt ugyanazt mondja a hordozhatóságról, a kilépési tervről és a beszállítófüggőségről. Összevonható.</w:t>
      </w:r>
    </w:p>
    <w:p>
      <w:pPr>
        <w:spacing w:after="140"/>
        <w:jc w:val="both"/>
      </w:pPr>
      <w:r>
        <w:rPr>
          <w:b/>
          <w:bCs/>
        </w:rPr>
        <w:t xml:space="preserve">K21 [É] — az „AI-ready" adatszegmens a legjobb műszaki rész.</w:t>
      </w:r>
      <w:r>
        <w:t xml:space="preserve"> Az adateredet, a feldolgozási lánc, a minőségi jelentés és a gépi olvasható jogi feltételek együttes előírása komoly munka, és nálunk nincs megfelelője. Külön értékes az a megfogalmazás, hogy a minősítés </w:t>
      </w:r>
      <w:r>
        <w:rPr>
          <w:b/>
          <w:bCs/>
        </w:rPr>
        <w:t xml:space="preserve">nem</w:t>
      </w:r>
      <w:r>
        <w:t xml:space="preserve"> azt tanúsítja, hogy az adat hibamentes, hanem azt, hogy a korlátai dokumentáltak. Ha a K19 szerint a általános blokk kikerül, ez maradjon bent: közvetlenül a tananyag-felhasználást szolgálja.</w:t>
      </w:r>
    </w:p>
    <w:p>
      <w:pPr>
        <w:spacing w:after="140"/>
        <w:jc w:val="both"/>
      </w:pPr>
      <w:r>
        <w:rPr>
          <w:b/>
          <w:bCs/>
        </w:rPr>
        <w:t xml:space="preserve">K22 [É] — a jogtisztázási program a rejtett költség.</w:t>
      </w:r>
      <w:r>
        <w:t xml:space="preserve"> A 2712. pont szerint a meglévő állományra „célzott jogtisztázási és jogdíj-megváltási program" indul. Ez az egyetlen pont, ahol a javaslat nem majdnem ingyenes. Nagyságrendi becslés nélkül ez lesz az első kérdés a pénzügyi oldalról. Javaslat: legalább annyi, hogy hány mű érintett, és milyen nagyságrendű jogdíjról lehet szó — vagy vállalt nyitott kérdésként megnevezve.</w:t>
      </w:r>
    </w:p>
    <w:p>
      <w:pPr>
        <w:pStyle w:val="Heading1"/>
        <w:spacing w:after="160" w:before="320"/>
      </w:pPr>
      <w:r>
        <w:t xml:space="preserve">Hiányzó szakaszok</w:t>
      </w:r>
    </w:p>
    <w:p>
      <w:pPr>
        <w:spacing w:after="140"/>
        <w:jc w:val="both"/>
      </w:pPr>
      <w:r>
        <w:t xml:space="preserve">Mind a négy olyan elem, amelyet a bírálat nálunk hiányolt, és amely a tárgyalási pozíciót erősíti. A tapasztalat az, hogy </w:t>
      </w:r>
      <w:r>
        <w:rPr>
          <w:b/>
          <w:bCs/>
        </w:rPr>
        <w:t xml:space="preserve">amit az előterjesztő maga nevez meg gyengeségként, azt a bíráló már nem tudja leleplezésként felmutatni.</w:t>
      </w:r>
    </w:p>
    <w:p>
      <w:pPr>
        <w:spacing w:after="140"/>
        <w:jc w:val="both"/>
      </w:pPr>
      <w:r>
        <w:rPr>
          <w:b/>
          <w:bCs/>
        </w:rPr>
        <w:t xml:space="preserve">K23 [É] — „Mit nem állítunk".</w:t>
      </w:r>
      <w:r>
        <w:t xml:space="preserve"> Rövid lista az előterjesztés elején arról, mit nem állít a javaslat. Például: nem állítjuk, hogy a jelenlegi tankönyvkiadási gyakorlat jogsértő; nem állítjuk, hogy az uniós adatjogból közvetlenül következne a nyílt licenc; nem javasoljuk külső jogosultak jogainak kisajátítását.</w:t>
      </w:r>
    </w:p>
    <w:p>
      <w:pPr>
        <w:spacing w:after="140"/>
        <w:jc w:val="both"/>
      </w:pPr>
      <w:r>
        <w:rPr>
          <w:b/>
          <w:bCs/>
        </w:rPr>
        <w:t xml:space="preserve">K24 [É] — Nyitott kérdések.</w:t>
      </w:r>
      <w:r>
        <w:t xml:space="preserve"> Legalább: a jogtisztázási program költsége, a külső jogosultakkal való megállapodás módja, a NKP-tartalmak jelenlegi jogi státuszának tételes felmérése, és az, hogy ki működteti a katalógust.</w:t>
      </w:r>
    </w:p>
    <w:p>
      <w:pPr>
        <w:spacing w:after="140"/>
        <w:jc w:val="both"/>
      </w:pPr>
      <w:r>
        <w:rPr>
          <w:b/>
          <w:bCs/>
        </w:rPr>
        <w:t xml:space="preserve">K25 [P] — Forrásjegyzék.</w:t>
      </w:r>
      <w:r>
        <w:t xml:space="preserve"> A szöveg sok jogszabályt és nemzetközi példát hivatkozik, de nincs összegyűjtve. Egy záró jegyzék a jogforrásokkal, a nemzetközi példákkal és az elérési dátumokkal ellenőrizhetővé teszi az anyagot.</w:t>
      </w:r>
    </w:p>
    <w:p>
      <w:pPr>
        <w:spacing w:after="140"/>
        <w:jc w:val="both"/>
      </w:pPr>
      <w:r>
        <w:rPr>
          <w:b/>
          <w:bCs/>
        </w:rPr>
        <w:t xml:space="preserve">K26 [P] — Érdekütközés.</w:t>
      </w:r>
      <w:r>
        <w:t xml:space="preserve"> Ha az előterjesztő bármely érintett szervezethez vagy piaci szereplőhöz kötődik, egy mondat a végén.</w:t>
      </w:r>
    </w:p>
    <w:p>
      <w:pPr>
        <w:pStyle w:val="Heading1"/>
        <w:spacing w:after="160" w:before="320"/>
      </w:pPr>
      <w:r>
        <w:t xml:space="preserve">Közös rendezendők a két anyag között</w:t>
      </w:r>
    </w:p>
    <w:p>
      <w:pPr>
        <w:spacing w:after="140"/>
        <w:jc w:val="both"/>
      </w:pPr>
      <w:r>
        <w:rPr>
          <w:b/>
          <w:bCs/>
        </w:rPr>
        <w:t xml:space="preserve">K27 [É] — az adatrendelet egységes kezelése.</w:t>
      </w:r>
      <w:r>
        <w:t xml:space="preserve"> Lásd K7.</w:t>
      </w:r>
    </w:p>
    <w:p>
      <w:pPr>
        <w:spacing w:after="140"/>
        <w:jc w:val="both"/>
      </w:pPr>
      <w:r>
        <w:rPr>
          <w:b/>
          <w:bCs/>
        </w:rPr>
        <w:t xml:space="preserve">K28 [P] — közös dátumsor.</w:t>
      </w:r>
      <w:r>
        <w:t xml:space="preserve"> A kormányrendelet kihirdetése itt 2027. február 28., nálunk 2027. március 31. A törvénymódosítás mindkettőnél 2026. december 31. Egy hónap eltérés egy csomagban zavaró.</w:t>
      </w:r>
    </w:p>
    <w:p>
      <w:pPr>
        <w:spacing w:after="140"/>
        <w:jc w:val="both"/>
      </w:pPr>
      <w:r>
        <w:rPr>
          <w:b/>
          <w:bCs/>
        </w:rPr>
        <w:t xml:space="preserve">K29 [P] — kölcsönös hivatkozás.</w:t>
      </w:r>
      <w:r>
        <w:t xml:space="preserve"> Egy bekezdés mindkét anyag elején a munkamegosztásról: a tananyag azt adja meg, </w:t>
      </w:r>
      <w:r>
        <w:rPr>
          <w:b/>
          <w:bCs/>
        </w:rPr>
        <w:t xml:space="preserve">mit tud</w:t>
      </w:r>
      <w:r>
        <w:t xml:space="preserve"> egy oktatási MI, a másik anyag azt, hogy </w:t>
      </w:r>
      <w:r>
        <w:rPr>
          <w:b/>
          <w:bCs/>
        </w:rPr>
        <w:t xml:space="preserve">kiről és mire</w:t>
      </w:r>
      <w:r>
        <w:t xml:space="preserve"> használhatja. Más törvényeket módosítanak, tehát egy csomagban ütközés nélkül állnak egymás mellett.</w:t>
      </w:r>
    </w:p>
    <w:p>
      <w:pPr>
        <w:spacing w:after="140"/>
        <w:jc w:val="both"/>
      </w:pPr>
      <w:r>
        <w:rPr>
          <w:b/>
          <w:bCs/>
        </w:rPr>
        <w:t xml:space="preserve">K30 [P] — közös váz.</w:t>
      </w:r>
      <w:r>
        <w:t xml:space="preserve"> Mindkét anyag ugyanabból a sablonból indult (Probléma, Előzmények, Okozott kár, Megoldási célok, Várható haszon, Pontos szakpolitikai változás). A mi törzsanyagunk mostantól pontosan ezeket a fejezetcímeket viseli, a többletanyag pedig külön mellékletbe került. Ugyanez itt is megtehető, ha a K19 szerinti általános blokk kiválik.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40" w:line="276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2026-09-25T08:21:45.049Z</dcterms:created>
  <dcterms:modified xsi:type="dcterms:W3CDTF">2026-09-25T08:21:45.050Z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