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before="200"/>
        <w:jc w:val="center"/>
        <w:rPr>
          <w:rFonts w:ascii="Times New Roman" w:cs="Times New Roman" w:eastAsia="Times New Roman" w:hAnsi="Times New Roman"/>
          <w:b/>
          <w:bCs/>
          <w:color w:val="111827"/>
          <w:sz w:val="36"/>
          <w:szCs w:val="36"/>
        </w:rPr>
      </w:pPr>
      <w:r>
        <w:t xml:space="preserve">KRYPTEDU — SMART CAMPUS ANALYTICS</w:t>
      </w:r>
    </w:p>
    <w:p>
      <w:pPr>
        <w:spacing w:after="140" w:line="360"/>
        <w:jc w:val="center"/>
      </w:pPr>
      <w:r>
        <w:rPr>
          <w:rFonts w:ascii="Times New Roman" w:cs="Times New Roman" w:eastAsia="Times New Roman" w:hAnsi="Times New Roman"/>
          <w:b w:val="false"/>
          <w:bCs w:val="false"/>
          <w:i/>
          <w:iCs/>
          <w:color w:val="1F2937"/>
          <w:sz w:val="24"/>
          <w:szCs w:val="24"/>
        </w:rPr>
        <w:t xml:space="preserve">A Project Report Submitted in Partial Fulfillment of the Requirements for the Award of the Degree of</w:t>
      </w:r>
    </w:p>
    <w:p>
      <w:pPr>
        <w:spacing w:after="140" w:line="360"/>
        <w:jc w:val="center"/>
      </w:pPr>
      <w:r>
        <w:rPr>
          <w:rFonts w:ascii="Times New Roman" w:cs="Times New Roman" w:eastAsia="Times New Roman" w:hAnsi="Times New Roman"/>
          <w:b/>
          <w:bCs/>
          <w:i w:val="false"/>
          <w:iCs w:val="false"/>
          <w:color w:val="1F2937"/>
          <w:sz w:val="24"/>
          <w:szCs w:val="24"/>
        </w:rPr>
        <w:t xml:space="preserve">BACHELOR OF TECHNOLOGY IN COMPUTER SCIENCE AND ENGINEERING</w:t>
      </w:r>
    </w:p>
    <w:p>
      <w:pPr>
        <w:spacing w:after="140" w:line="360"/>
        <w:jc w:val="center"/>
      </w:pPr>
      <w:r>
        <w:rPr>
          <w:rFonts w:ascii="Times New Roman" w:cs="Times New Roman" w:eastAsia="Times New Roman" w:hAnsi="Times New Roman"/>
          <w:b w:val="false"/>
          <w:bCs w:val="false"/>
          <w:i w:val="false"/>
          <w:iCs w:val="false"/>
          <w:color w:val="1F2937"/>
          <w:sz w:val="24"/>
          <w:szCs w:val="24"/>
        </w:rPr>
        <w:t xml:space="preserve">ACADEMIC YEAR: 2025 – 2026</w:t>
      </w:r>
    </w:p>
    <w:p>
      <w:pPr>
        <w:spacing w:after="140" w:line="360"/>
        <w:jc w:val="center"/>
      </w:pPr>
      <w:r>
        <w:rPr>
          <w:rFonts w:ascii="Times New Roman" w:cs="Times New Roman" w:eastAsia="Times New Roman" w:hAnsi="Times New Roman"/>
          <w:b/>
          <w:bCs/>
          <w:i w:val="false"/>
          <w:iCs w:val="false"/>
          <w:color w:val="1F2937"/>
          <w:sz w:val="24"/>
          <w:szCs w:val="24"/>
        </w:rPr>
        <w:t xml:space="preserve">Submitted by:</w:t>
      </w:r>
    </w:p>
    <w:p>
      <w:pPr>
        <w:spacing w:after="140" w:line="360"/>
        <w:jc w:val="center"/>
      </w:pPr>
      <w:r>
        <w:rPr>
          <w:rFonts w:ascii="Times New Roman" w:cs="Times New Roman" w:eastAsia="Times New Roman" w:hAnsi="Times New Roman"/>
          <w:b w:val="false"/>
          <w:bCs w:val="false"/>
          <w:i w:val="false"/>
          <w:iCs w:val="false"/>
          <w:color w:val="1F2937"/>
          <w:sz w:val="24"/>
          <w:szCs w:val="24"/>
        </w:rPr>
        <w:t xml:space="preserve">[STUDENT NAME 1] ([ROLL NO 1]) | [STUDENT NAME 2] ([ROLL NO 2])</w:t>
      </w:r>
    </w:p>
    <w:p>
      <w:pPr>
        <w:spacing w:after="140" w:line="360"/>
        <w:jc w:val="center"/>
      </w:pPr>
      <w:r>
        <w:rPr>
          <w:rFonts w:ascii="Times New Roman" w:cs="Times New Roman" w:eastAsia="Times New Roman" w:hAnsi="Times New Roman"/>
          <w:b w:val="false"/>
          <w:bCs w:val="false"/>
          <w:i w:val="false"/>
          <w:iCs w:val="false"/>
          <w:color w:val="1F2937"/>
          <w:sz w:val="24"/>
          <w:szCs w:val="24"/>
        </w:rPr>
        <w:t xml:space="preserve">[STUDENT NAME 3] ([ROLL NO 3]) | [STUDENT NAME 4] ([ROLL NO 4])</w:t>
      </w:r>
    </w:p>
    <w:p>
      <w:pPr>
        <w:spacing w:after="140" w:line="360"/>
        <w:jc w:val="center"/>
      </w:pPr>
      <w:r>
        <w:rPr>
          <w:rFonts w:ascii="Times New Roman" w:cs="Times New Roman" w:eastAsia="Times New Roman" w:hAnsi="Times New Roman"/>
          <w:b/>
          <w:bCs/>
          <w:i w:val="false"/>
          <w:iCs w:val="false"/>
          <w:color w:val="1F2937"/>
          <w:sz w:val="24"/>
          <w:szCs w:val="24"/>
        </w:rPr>
        <w:t xml:space="preserve">Under the Guidance of:</w:t>
      </w:r>
    </w:p>
    <w:p>
      <w:pPr>
        <w:spacing w:after="140" w:line="360"/>
        <w:jc w:val="center"/>
      </w:pPr>
      <w:r>
        <w:rPr>
          <w:rFonts w:ascii="Times New Roman" w:cs="Times New Roman" w:eastAsia="Times New Roman" w:hAnsi="Times New Roman"/>
          <w:b w:val="false"/>
          <w:bCs w:val="false"/>
          <w:i w:val="false"/>
          <w:iCs w:val="false"/>
          <w:color w:val="1F2937"/>
          <w:sz w:val="24"/>
          <w:szCs w:val="24"/>
        </w:rPr>
        <w:t xml:space="preserve">[NAME OF INTERNAL GUIDE], Assistant Professor, Department of CSE</w:t>
      </w:r>
    </w:p>
    <w:p>
      <w:pPr>
        <w:spacing w:after="140" w:line="360"/>
        <w:jc w:val="center"/>
      </w:pPr>
      <w:r>
        <w:rPr>
          <w:rFonts w:ascii="Times New Roman" w:cs="Times New Roman" w:eastAsia="Times New Roman" w:hAnsi="Times New Roman"/>
          <w:b/>
          <w:bCs/>
          <w:i w:val="false"/>
          <w:iCs w:val="false"/>
          <w:color w:val="1F2937"/>
          <w:sz w:val="24"/>
          <w:szCs w:val="24"/>
        </w:rPr>
        <w:t xml:space="preserve">DEPARTMENT OF COMPUTER SCIENCE AND ENGINEERING</w:t>
      </w:r>
    </w:p>
    <w:p>
      <w:pPr>
        <w:spacing w:after="140" w:line="360"/>
        <w:jc w:val="center"/>
      </w:pPr>
      <w:r>
        <w:rPr>
          <w:rFonts w:ascii="Times New Roman" w:cs="Times New Roman" w:eastAsia="Times New Roman" w:hAnsi="Times New Roman"/>
          <w:b w:val="false"/>
          <w:bCs w:val="false"/>
          <w:i w:val="false"/>
          <w:iCs w:val="false"/>
          <w:color w:val="1F2937"/>
          <w:sz w:val="24"/>
          <w:szCs w:val="24"/>
        </w:rPr>
        <w:t xml:space="preserve">[YOUR INSTITUTION / COLLEGE NAME], Affiliated to [AFFILIATED UNIVERSITY NAME]</w:t>
      </w:r>
    </w:p>
    <w:p>
      <w:pPr>
        <w:pStyle w:val="Heading1"/>
        <w:pageBreakBefore/>
        <w:spacing w:after="200" w:before="400"/>
        <w:rPr>
          <w:rFonts w:ascii="Times New Roman" w:cs="Times New Roman" w:eastAsia="Times New Roman" w:hAnsi="Times New Roman"/>
          <w:b/>
          <w:bCs/>
          <w:color w:val="0F172A"/>
          <w:sz w:val="32"/>
          <w:szCs w:val="32"/>
        </w:rPr>
      </w:pPr>
      <w:r>
        <w:t xml:space="preserve">CERTIFICATE</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This is to certify that the project report entitled 'KRYPTEDU — SMART CAMPUS ANALYTICS' submitted by [STUDENT NAME 1] ([ROLL NO 1]), [STUDENT NAME 2] ([ROLL NO 2]), [STUDENT NAME 3] ([ROLL NO 3]), and [STUDENT NAME 4] ([ROLL NO 4]) in partial fulfillment of the requirements for the award of the degree of Bachelor of Technology in Computer Science and Engineering from [AFFILIATED UNIVERSITY NAME] is a bonafide record of the work carried out by them under my supervision and guidance during the academic year 2025–2026.</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The results embodied in this report have not been submitted to any other university or institute for the award of any degree or diploma.</w:t>
      </w:r>
    </w:p>
    <w:p>
      <w:pPr>
        <w:spacing w:after="140" w:line="360"/>
        <w:jc w:val="left"/>
      </w:pPr>
      <w:r>
        <w:rPr>
          <w:rFonts w:ascii="Times New Roman" w:cs="Times New Roman" w:eastAsia="Times New Roman" w:hAnsi="Times New Roman"/>
          <w:b w:val="false"/>
          <w:bCs w:val="false"/>
          <w:i w:val="false"/>
          <w:iCs w:val="false"/>
          <w:color w:val="1F2937"/>
          <w:sz w:val="24"/>
          <w:szCs w:val="24"/>
        </w:rPr>
        <w:t xml:space="preserve">
______________________________
[NAME OF INTERNAL GUIDE]
Project Guide</w:t>
      </w:r>
    </w:p>
    <w:p>
      <w:pPr>
        <w:spacing w:after="140" w:line="360"/>
        <w:jc w:val="left"/>
      </w:pPr>
      <w:r>
        <w:rPr>
          <w:rFonts w:ascii="Times New Roman" w:cs="Times New Roman" w:eastAsia="Times New Roman" w:hAnsi="Times New Roman"/>
          <w:b w:val="false"/>
          <w:bCs w:val="false"/>
          <w:i w:val="false"/>
          <w:iCs w:val="false"/>
          <w:color w:val="1F2937"/>
          <w:sz w:val="24"/>
          <w:szCs w:val="24"/>
        </w:rPr>
        <w:t xml:space="preserve">
______________________________
[NAME OF HEAD OF DEPARTMENT]
Professor &amp; Head of Department</w:t>
      </w:r>
    </w:p>
    <w:p>
      <w:pPr>
        <w:pStyle w:val="Heading1"/>
        <w:pageBreakBefore/>
        <w:spacing w:after="200" w:before="400"/>
        <w:rPr>
          <w:rFonts w:ascii="Times New Roman" w:cs="Times New Roman" w:eastAsia="Times New Roman" w:hAnsi="Times New Roman"/>
          <w:b/>
          <w:bCs/>
          <w:color w:val="0F172A"/>
          <w:sz w:val="32"/>
          <w:szCs w:val="32"/>
        </w:rPr>
      </w:pPr>
      <w:r>
        <w:t xml:space="preserve">DECLARATION</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We hereby declare that the project entitled 'KRYPTEDU — SMART CAMPUS ANALYTICS' is an authentic record of our own research and development work carried out under the supervision of [NAME OF INTERNAL GUIDE], Department of Computer Science and Engineering, [YOUR INSTITUTION / COLLEGE NAME].</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We further declare that the content of this project report has not been submitted previously to any other university or institution for the award of any degree, diploma, or certificate.</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1. [STUDENT NAME 1] ([ROLL NO 1])</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2. [STUDENT NAME 2] ([ROLL NO 2])</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3. [STUDENT NAME 3] ([ROLL NO 3])</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4. [STUDENT NAME 4] ([ROLL NO 4])</w:t>
      </w:r>
    </w:p>
    <w:p>
      <w:pPr>
        <w:pStyle w:val="Heading1"/>
        <w:pageBreakBefore/>
        <w:spacing w:after="200" w:before="400"/>
        <w:rPr>
          <w:rFonts w:ascii="Times New Roman" w:cs="Times New Roman" w:eastAsia="Times New Roman" w:hAnsi="Times New Roman"/>
          <w:b/>
          <w:bCs/>
          <w:color w:val="0F172A"/>
          <w:sz w:val="32"/>
          <w:szCs w:val="32"/>
        </w:rPr>
      </w:pPr>
      <w:r>
        <w:t xml:space="preserve">ABSTRACT</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Modern higher education institutions handle voluminous academic, attendance, financial, and placement data. However, traditional campus management systems typically operate in disconnected departmental silos, relying on batch data exports, disparate spreadsheet calculators, and fragmented communication tools. These structural limitations impede early risk detection, cause discrepancies between attendance percentages and official CGPA, and leave academic administrators and placement coordinators without timely, predictive intelligence to intervene before students experience academic probation or placement disqualification.</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To resolve these institutional bottlenecks, this project presents KRYPTEDU — Smart Campus Analytics, an enterprise-grade, integrated educational analytics and intervention management platform. Built upon a unified full-stack architecture combining React 19, TanStack Start (full-stack SSR), Nitro, and Supabase PostgreSQL with Row-Level Security, KRYPTEDU establishes a single source of truth across academic curricula, daily attendance registers, student risk profiling, fee management, and placement readiness.</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The platform implements an authoritative Academic CGPA engine supporting multi-department curricula across eight semesters, enforcing institutionally validated Written (0–50) and Internal (0–50) marking scales. A bidirectional data-synchronization pipeline guarantees that when faculty publish daily attendance sessions or examination scores, dependent metrics—including Attendance Percentage, Semester SGPA, Cumulative CGPA, Academic Risk, and Placement Readiness—recalculate immediately across all administrative dashboards, student profile drawers, and intervention queues. In addition, KRYPTEDU introduces an authoritative, multi-dimensional 5-Indicator Placement Readiness Model (R = 0.25G + 0.25T + 0.20I + 0.20P + 0.10C) and an AI-powered Mock Interview Studio with automated speech-to-text, dynamic follow-up questioning, and multi-criteria rubric scoring powered by Google Gemini API (gemini-3.8-flash). The platform has been comprehensively validated through 167 automated unit, integration, and security test suites, delivering an enterprise-grade smart campus ecosystem.</w:t>
      </w:r>
    </w:p>
    <w:p>
      <w:pPr>
        <w:pStyle w:val="Heading1"/>
        <w:pageBreakBefore/>
        <w:spacing w:after="200" w:before="400"/>
        <w:rPr>
          <w:rFonts w:ascii="Times New Roman" w:cs="Times New Roman" w:eastAsia="Times New Roman" w:hAnsi="Times New Roman"/>
          <w:b/>
          <w:bCs/>
          <w:color w:val="0F172A"/>
          <w:sz w:val="32"/>
          <w:szCs w:val="32"/>
        </w:rPr>
      </w:pPr>
      <w:r>
        <w:t xml:space="preserve">CHAPTER 1: INTRODUCTION</w:t>
      </w:r>
    </w:p>
    <w:p>
      <w:pPr>
        <w:pStyle w:val="Heading2"/>
        <w:spacing w:after="150" w:before="300"/>
        <w:rPr>
          <w:rFonts w:ascii="Times New Roman" w:cs="Times New Roman" w:eastAsia="Times New Roman" w:hAnsi="Times New Roman"/>
          <w:b/>
          <w:bCs/>
          <w:color w:val="1E293B"/>
          <w:sz w:val="28"/>
          <w:szCs w:val="28"/>
        </w:rPr>
      </w:pPr>
      <w:r>
        <w:t xml:space="preserve">1.1 Introduction to Smart Campus Analytics</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The global tertiary education landscape is experiencing unprecedented digital transformation. Contemporary universities and engineering colleges generate substantial operational data daily, encompassing classroom biometric attendance, continuous internal assessments, laboratory evaluations, semester examinations, tuition fee transactions, and placement interviews. When aggregated and processed systematically, these disparate data streams yield invaluable learning analytics—the measurement, collection, analysis, and reporting of data about learners and their contexts for purposes of understanding and optimizing learning environments.</w:t>
      </w:r>
    </w:p>
    <w:p>
      <w:pPr>
        <w:pStyle w:val="Heading2"/>
        <w:spacing w:after="150" w:before="300"/>
        <w:rPr>
          <w:rFonts w:ascii="Times New Roman" w:cs="Times New Roman" w:eastAsia="Times New Roman" w:hAnsi="Times New Roman"/>
          <w:b/>
          <w:bCs/>
          <w:color w:val="1E293B"/>
          <w:sz w:val="28"/>
          <w:szCs w:val="28"/>
        </w:rPr>
      </w:pPr>
      <w:r>
        <w:t xml:space="preserve">1.2 Background of Educational Data Analytics</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Historically, academic recordkeeping transitioned from paper-based registries in the mid-twentieth century to standalone relational database management systems in the late 1990s. Studies consistently demonstrate that student attrition and placement failures rarely occur without precursor signals. Significant dips in classroom attendance almost invariably precede drops in internal test scores, which subsequently depress semester grade point averages and ultimately disqualify candidates from campus recruitment criteria.</w:t>
      </w:r>
    </w:p>
    <w:p>
      <w:pPr>
        <w:pStyle w:val="Heading2"/>
        <w:spacing w:after="150" w:before="300"/>
        <w:rPr>
          <w:rFonts w:ascii="Times New Roman" w:cs="Times New Roman" w:eastAsia="Times New Roman" w:hAnsi="Times New Roman"/>
          <w:b/>
          <w:bCs/>
          <w:color w:val="1E293B"/>
          <w:sz w:val="28"/>
          <w:szCs w:val="28"/>
        </w:rPr>
      </w:pPr>
      <w:r>
        <w:t xml:space="preserve">1.3 Problem Statement</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To design, develop, and validate an integrated, secure Smart Campus Analytics platform that unifies student academic records, continuous attendance registers, and placement readiness indicators into a single source of truth; automates institutional CGPA calculations across multi-department curricula; synchronizes dependent analytics bidirectionally; provides proactive student intervention management; and embeds voice-enabled AI mock interview intelligence with verifiable audit logging.</w:t>
      </w:r>
    </w:p>
    <w:p>
      <w:pPr>
        <w:pStyle w:val="Heading2"/>
        <w:spacing w:after="150" w:before="300"/>
        <w:rPr>
          <w:rFonts w:ascii="Times New Roman" w:cs="Times New Roman" w:eastAsia="Times New Roman" w:hAnsi="Times New Roman"/>
          <w:b/>
          <w:bCs/>
          <w:color w:val="1E293B"/>
          <w:sz w:val="28"/>
          <w:szCs w:val="28"/>
        </w:rPr>
      </w:pPr>
      <w:r>
        <w:t xml:space="preserve">1.4 Project Objectives</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1. Authoritative Academic Engine: </w:t>
      </w:r>
      <w:r>
        <w:rPr>
          <w:rFonts w:ascii="Times New Roman" w:cs="Times New Roman" w:eastAsia="Times New Roman" w:hAnsi="Times New Roman"/>
          <w:color w:val="1F2937"/>
          <w:sz w:val="24"/>
          <w:szCs w:val="24"/>
        </w:rPr>
        <w:t xml:space="preserve">Formulate and implement official semester curricula for B.Tech CSE, AIML, and CSF departments.</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2. Bidirectional Data Synchronization: </w:t>
      </w:r>
      <w:r>
        <w:rPr>
          <w:rFonts w:ascii="Times New Roman" w:cs="Times New Roman" w:eastAsia="Times New Roman" w:hAnsi="Times New Roman"/>
          <w:color w:val="1F2937"/>
          <w:sz w:val="24"/>
          <w:szCs w:val="24"/>
        </w:rPr>
        <w:t xml:space="preserve">Engineer a unified database transaction pipeline ensuring that faculty updates in attendance or examination records instantaneously recalculate student percentages, SGPA, CGPA, and dependent risk scores application-wide.</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3. Placement Readiness Model: </w:t>
      </w:r>
      <w:r>
        <w:rPr>
          <w:rFonts w:ascii="Times New Roman" w:cs="Times New Roman" w:eastAsia="Times New Roman" w:hAnsi="Times New Roman"/>
          <w:color w:val="1F2937"/>
          <w:sz w:val="24"/>
          <w:szCs w:val="24"/>
        </w:rPr>
        <w:t xml:space="preserve">Design and deploy a validated multi-indicator formula (R = 0.25G + 0.25T + 0.20I + 0.20P + 0.10C) balancing academics, technical skills, mock interviews, placement prep, and attendance.</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4. Voice-Enabled AI Mock Interview: </w:t>
      </w:r>
      <w:r>
        <w:rPr>
          <w:rFonts w:ascii="Times New Roman" w:cs="Times New Roman" w:eastAsia="Times New Roman" w:hAnsi="Times New Roman"/>
          <w:color w:val="1F2937"/>
          <w:sz w:val="24"/>
          <w:szCs w:val="24"/>
        </w:rPr>
        <w:t xml:space="preserve">Integrate Google Gemini API to generate dynamic follow-up questions and 10-part debrief reports with offline deterministic fallbacks.</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5. Financial Integrity &amp; Auditing: </w:t>
      </w:r>
      <w:r>
        <w:rPr>
          <w:rFonts w:ascii="Times New Roman" w:cs="Times New Roman" w:eastAsia="Times New Roman" w:hAnsi="Times New Roman"/>
          <w:color w:val="1F2937"/>
          <w:sz w:val="24"/>
          <w:szCs w:val="24"/>
        </w:rPr>
        <w:t xml:space="preserve">Construct an administrative fee ledger with Razorpay checkout and immutable audit trail logging ('Save &amp; Audit').</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6. Comprehensive Quality Assurance: </w:t>
      </w:r>
      <w:r>
        <w:rPr>
          <w:rFonts w:ascii="Times New Roman" w:cs="Times New Roman" w:eastAsia="Times New Roman" w:hAnsi="Times New Roman"/>
          <w:color w:val="1F2937"/>
          <w:sz w:val="24"/>
          <w:szCs w:val="24"/>
        </w:rPr>
        <w:t xml:space="preserve">Validate the complete platform against 167 automated unit, integration, and security test cases.</w:t>
      </w:r>
    </w:p>
    <w:p>
      <w:pPr>
        <w:pStyle w:val="Heading1"/>
        <w:pageBreakBefore/>
        <w:spacing w:after="200" w:before="400"/>
        <w:rPr>
          <w:rFonts w:ascii="Times New Roman" w:cs="Times New Roman" w:eastAsia="Times New Roman" w:hAnsi="Times New Roman"/>
          <w:b/>
          <w:bCs/>
          <w:color w:val="0F172A"/>
          <w:sz w:val="32"/>
          <w:szCs w:val="32"/>
        </w:rPr>
      </w:pPr>
      <w:r>
        <w:t xml:space="preserve">CHAPTER 2: LITERATURE REVIEW AND EXISTING SYSTEM</w:t>
      </w:r>
    </w:p>
    <w:p>
      <w:pPr>
        <w:pStyle w:val="Heading2"/>
        <w:spacing w:after="150" w:before="300"/>
        <w:rPr>
          <w:rFonts w:ascii="Times New Roman" w:cs="Times New Roman" w:eastAsia="Times New Roman" w:hAnsi="Times New Roman"/>
          <w:b/>
          <w:bCs/>
          <w:color w:val="1E293B"/>
          <w:sz w:val="28"/>
          <w:szCs w:val="28"/>
        </w:rPr>
      </w:pPr>
      <w:r>
        <w:t xml:space="preserve">2.1 Existing System Limitations</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Traditional Student Information Systems (SIS) and Learning Management Systems (LMS) manage student data in isolated silos. Departmental attendance coordinators, examination cells, accounts sections, and placement cells maintain disparate spreadsheets and software packages, leading to data divergence, delayed interventions, and unverified CGPA calculations.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Feature Dimension</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Traditional SIS</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Standard LMS</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KRYPTEDU Platform</w:t>
            </w:r>
          </w:p>
        </w:tc>
      </w:tr>
      <w:tr>
        <w:tc>
          <w:tcPr>
            <w:tcW w:type="pct" w:w="1250"/>
          </w:tcPr>
          <w:p>
            <w:pPr>
              <w:spacing w:after="80" w:before="80"/>
            </w:pPr>
            <w:r>
              <w:rPr>
                <w:rFonts w:ascii="Times New Roman" w:cs="Times New Roman" w:eastAsia="Times New Roman" w:hAnsi="Times New Roman"/>
                <w:color w:val="334155"/>
                <w:sz w:val="20"/>
                <w:szCs w:val="20"/>
              </w:rPr>
              <w:t xml:space="preserve">Data Scope</w:t>
            </w:r>
          </w:p>
        </w:tc>
        <w:tc>
          <w:tcPr>
            <w:tcW w:type="pct" w:w="1250"/>
          </w:tcPr>
          <w:p>
            <w:pPr>
              <w:spacing w:after="80" w:before="80"/>
            </w:pPr>
            <w:r>
              <w:rPr>
                <w:rFonts w:ascii="Times New Roman" w:cs="Times New Roman" w:eastAsia="Times New Roman" w:hAnsi="Times New Roman"/>
                <w:color w:val="334155"/>
                <w:sz w:val="20"/>
                <w:szCs w:val="20"/>
              </w:rPr>
              <w:t xml:space="preserve">Administrative only</w:t>
            </w:r>
          </w:p>
        </w:tc>
        <w:tc>
          <w:tcPr>
            <w:tcW w:type="pct" w:w="1250"/>
          </w:tcPr>
          <w:p>
            <w:pPr>
              <w:spacing w:after="80" w:before="80"/>
            </w:pPr>
            <w:r>
              <w:rPr>
                <w:rFonts w:ascii="Times New Roman" w:cs="Times New Roman" w:eastAsia="Times New Roman" w:hAnsi="Times New Roman"/>
                <w:color w:val="334155"/>
                <w:sz w:val="20"/>
                <w:szCs w:val="20"/>
              </w:rPr>
              <w:t xml:space="preserve">Course assignments only</w:t>
            </w:r>
          </w:p>
        </w:tc>
        <w:tc>
          <w:tcPr>
            <w:tcW w:type="pct" w:w="1250"/>
          </w:tcPr>
          <w:p>
            <w:pPr>
              <w:spacing w:after="80" w:before="80"/>
            </w:pPr>
            <w:r>
              <w:rPr>
                <w:rFonts w:ascii="Times New Roman" w:cs="Times New Roman" w:eastAsia="Times New Roman" w:hAnsi="Times New Roman"/>
                <w:color w:val="334155"/>
                <w:sz w:val="20"/>
                <w:szCs w:val="20"/>
              </w:rPr>
              <w:t xml:space="preserve">Unified Academic, Attendance, Fees &amp; Placement</w:t>
            </w:r>
          </w:p>
        </w:tc>
      </w:tr>
      <w:tr>
        <w:tc>
          <w:tcPr>
            <w:tcW w:type="pct" w:w="1250"/>
          </w:tcPr>
          <w:p>
            <w:pPr>
              <w:spacing w:after="80" w:before="80"/>
            </w:pPr>
            <w:r>
              <w:rPr>
                <w:rFonts w:ascii="Times New Roman" w:cs="Times New Roman" w:eastAsia="Times New Roman" w:hAnsi="Times New Roman"/>
                <w:color w:val="334155"/>
                <w:sz w:val="20"/>
                <w:szCs w:val="20"/>
              </w:rPr>
              <w:t xml:space="preserve">CGPA Calculation</w:t>
            </w:r>
          </w:p>
        </w:tc>
        <w:tc>
          <w:tcPr>
            <w:tcW w:type="pct" w:w="1250"/>
          </w:tcPr>
          <w:p>
            <w:pPr>
              <w:spacing w:after="80" w:before="80"/>
            </w:pPr>
            <w:r>
              <w:rPr>
                <w:rFonts w:ascii="Times New Roman" w:cs="Times New Roman" w:eastAsia="Times New Roman" w:hAnsi="Times New Roman"/>
                <w:color w:val="334155"/>
                <w:sz w:val="20"/>
                <w:szCs w:val="20"/>
              </w:rPr>
              <w:t xml:space="preserve">Batch / Periodic</w:t>
            </w:r>
          </w:p>
        </w:tc>
        <w:tc>
          <w:tcPr>
            <w:tcW w:type="pct" w:w="1250"/>
          </w:tcPr>
          <w:p>
            <w:pPr>
              <w:spacing w:after="80" w:before="80"/>
            </w:pPr>
            <w:r>
              <w:rPr>
                <w:rFonts w:ascii="Times New Roman" w:cs="Times New Roman" w:eastAsia="Times New Roman" w:hAnsi="Times New Roman"/>
                <w:color w:val="334155"/>
                <w:sz w:val="20"/>
                <w:szCs w:val="20"/>
              </w:rPr>
              <w:t xml:space="preserve">Not supported</w:t>
            </w:r>
          </w:p>
        </w:tc>
        <w:tc>
          <w:tcPr>
            <w:tcW w:type="pct" w:w="1250"/>
          </w:tcPr>
          <w:p>
            <w:pPr>
              <w:spacing w:after="80" w:before="80"/>
            </w:pPr>
            <w:r>
              <w:rPr>
                <w:rFonts w:ascii="Times New Roman" w:cs="Times New Roman" w:eastAsia="Times New Roman" w:hAnsi="Times New Roman"/>
                <w:color w:val="334155"/>
                <w:sz w:val="20"/>
                <w:szCs w:val="20"/>
              </w:rPr>
              <w:t xml:space="preserve">Authoritative, real-time, credit-weighted</w:t>
            </w:r>
          </w:p>
        </w:tc>
      </w:tr>
      <w:tr>
        <w:tc>
          <w:tcPr>
            <w:tcW w:type="pct" w:w="1250"/>
          </w:tcPr>
          <w:p>
            <w:pPr>
              <w:spacing w:after="80" w:before="80"/>
            </w:pPr>
            <w:r>
              <w:rPr>
                <w:rFonts w:ascii="Times New Roman" w:cs="Times New Roman" w:eastAsia="Times New Roman" w:hAnsi="Times New Roman"/>
                <w:color w:val="334155"/>
                <w:sz w:val="20"/>
                <w:szCs w:val="20"/>
              </w:rPr>
              <w:t xml:space="preserve">Attendance Tracking</w:t>
            </w:r>
          </w:p>
        </w:tc>
        <w:tc>
          <w:tcPr>
            <w:tcW w:type="pct" w:w="1250"/>
          </w:tcPr>
          <w:p>
            <w:pPr>
              <w:spacing w:after="80" w:before="80"/>
            </w:pPr>
            <w:r>
              <w:rPr>
                <w:rFonts w:ascii="Times New Roman" w:cs="Times New Roman" w:eastAsia="Times New Roman" w:hAnsi="Times New Roman"/>
                <w:color w:val="334155"/>
                <w:sz w:val="20"/>
                <w:szCs w:val="20"/>
              </w:rPr>
              <w:t xml:space="preserve">Standalone module</w:t>
            </w:r>
          </w:p>
        </w:tc>
        <w:tc>
          <w:tcPr>
            <w:tcW w:type="pct" w:w="1250"/>
          </w:tcPr>
          <w:p>
            <w:pPr>
              <w:spacing w:after="80" w:before="80"/>
            </w:pPr>
            <w:r>
              <w:rPr>
                <w:rFonts w:ascii="Times New Roman" w:cs="Times New Roman" w:eastAsia="Times New Roman" w:hAnsi="Times New Roman"/>
                <w:color w:val="334155"/>
                <w:sz w:val="20"/>
                <w:szCs w:val="20"/>
              </w:rPr>
              <w:t xml:space="preserve">Course-specific logins</w:t>
            </w:r>
          </w:p>
        </w:tc>
        <w:tc>
          <w:tcPr>
            <w:tcW w:type="pct" w:w="1250"/>
          </w:tcPr>
          <w:p>
            <w:pPr>
              <w:spacing w:after="80" w:before="80"/>
            </w:pPr>
            <w:r>
              <w:rPr>
                <w:rFonts w:ascii="Times New Roman" w:cs="Times New Roman" w:eastAsia="Times New Roman" w:hAnsi="Times New Roman"/>
                <w:color w:val="334155"/>
                <w:sz w:val="20"/>
                <w:szCs w:val="20"/>
              </w:rPr>
              <w:t xml:space="preserve">Daily registers with instant 2-way sync</w:t>
            </w:r>
          </w:p>
        </w:tc>
      </w:tr>
      <w:tr>
        <w:tc>
          <w:tcPr>
            <w:tcW w:type="pct" w:w="1250"/>
          </w:tcPr>
          <w:p>
            <w:pPr>
              <w:spacing w:after="80" w:before="80"/>
            </w:pPr>
            <w:r>
              <w:rPr>
                <w:rFonts w:ascii="Times New Roman" w:cs="Times New Roman" w:eastAsia="Times New Roman" w:hAnsi="Times New Roman"/>
                <w:color w:val="334155"/>
                <w:sz w:val="20"/>
                <w:szCs w:val="20"/>
              </w:rPr>
              <w:t xml:space="preserve">Placement Modeling</w:t>
            </w:r>
          </w:p>
        </w:tc>
        <w:tc>
          <w:tcPr>
            <w:tcW w:type="pct" w:w="1250"/>
          </w:tcPr>
          <w:p>
            <w:pPr>
              <w:spacing w:after="80" w:before="80"/>
            </w:pPr>
            <w:r>
              <w:rPr>
                <w:rFonts w:ascii="Times New Roman" w:cs="Times New Roman" w:eastAsia="Times New Roman" w:hAnsi="Times New Roman"/>
                <w:color w:val="334155"/>
                <w:sz w:val="20"/>
                <w:szCs w:val="20"/>
              </w:rPr>
              <w:t xml:space="preserve">Basic CGPA threshold</w:t>
            </w:r>
          </w:p>
        </w:tc>
        <w:tc>
          <w:tcPr>
            <w:tcW w:type="pct" w:w="1250"/>
          </w:tcPr>
          <w:p>
            <w:pPr>
              <w:spacing w:after="80" w:before="80"/>
            </w:pPr>
            <w:r>
              <w:rPr>
                <w:rFonts w:ascii="Times New Roman" w:cs="Times New Roman" w:eastAsia="Times New Roman" w:hAnsi="Times New Roman"/>
                <w:color w:val="334155"/>
                <w:sz w:val="20"/>
                <w:szCs w:val="20"/>
              </w:rPr>
              <w:t xml:space="preserve">None</w:t>
            </w:r>
          </w:p>
        </w:tc>
        <w:tc>
          <w:tcPr>
            <w:tcW w:type="pct" w:w="1250"/>
          </w:tcPr>
          <w:p>
            <w:pPr>
              <w:spacing w:after="80" w:before="80"/>
            </w:pPr>
            <w:r>
              <w:rPr>
                <w:rFonts w:ascii="Times New Roman" w:cs="Times New Roman" w:eastAsia="Times New Roman" w:hAnsi="Times New Roman"/>
                <w:color w:val="334155"/>
                <w:sz w:val="20"/>
                <w:szCs w:val="20"/>
              </w:rPr>
              <w:t xml:space="preserve">5-indicator multi-dimensional score (R)</w:t>
            </w:r>
          </w:p>
        </w:tc>
      </w:tr>
      <w:tr>
        <w:tc>
          <w:tcPr>
            <w:tcW w:type="pct" w:w="1250"/>
          </w:tcPr>
          <w:p>
            <w:pPr>
              <w:spacing w:after="80" w:before="80"/>
            </w:pPr>
            <w:r>
              <w:rPr>
                <w:rFonts w:ascii="Times New Roman" w:cs="Times New Roman" w:eastAsia="Times New Roman" w:hAnsi="Times New Roman"/>
                <w:color w:val="334155"/>
                <w:sz w:val="20"/>
                <w:szCs w:val="20"/>
              </w:rPr>
              <w:t xml:space="preserve">Mock Interviews</w:t>
            </w:r>
          </w:p>
        </w:tc>
        <w:tc>
          <w:tcPr>
            <w:tcW w:type="pct" w:w="1250"/>
          </w:tcPr>
          <w:p>
            <w:pPr>
              <w:spacing w:after="80" w:before="80"/>
            </w:pPr>
            <w:r>
              <w:rPr>
                <w:rFonts w:ascii="Times New Roman" w:cs="Times New Roman" w:eastAsia="Times New Roman" w:hAnsi="Times New Roman"/>
                <w:color w:val="334155"/>
                <w:sz w:val="20"/>
                <w:szCs w:val="20"/>
              </w:rPr>
              <w:t xml:space="preserve">Manual / human-dependent</w:t>
            </w:r>
          </w:p>
        </w:tc>
        <w:tc>
          <w:tcPr>
            <w:tcW w:type="pct" w:w="1250"/>
          </w:tcPr>
          <w:p>
            <w:pPr>
              <w:spacing w:after="80" w:before="80"/>
            </w:pPr>
            <w:r>
              <w:rPr>
                <w:rFonts w:ascii="Times New Roman" w:cs="Times New Roman" w:eastAsia="Times New Roman" w:hAnsi="Times New Roman"/>
                <w:color w:val="334155"/>
                <w:sz w:val="20"/>
                <w:szCs w:val="20"/>
              </w:rPr>
              <w:t xml:space="preserve">None</w:t>
            </w:r>
          </w:p>
        </w:tc>
        <w:tc>
          <w:tcPr>
            <w:tcW w:type="pct" w:w="1250"/>
          </w:tcPr>
          <w:p>
            <w:pPr>
              <w:spacing w:after="80" w:before="80"/>
            </w:pPr>
            <w:r>
              <w:rPr>
                <w:rFonts w:ascii="Times New Roman" w:cs="Times New Roman" w:eastAsia="Times New Roman" w:hAnsi="Times New Roman"/>
                <w:color w:val="334155"/>
                <w:sz w:val="20"/>
                <w:szCs w:val="20"/>
              </w:rPr>
              <w:t xml:space="preserve">Voice/STT, dynamic questions, 10-part report</w:t>
            </w:r>
          </w:p>
        </w:tc>
      </w:tr>
      <w:tr>
        <w:tc>
          <w:tcPr>
            <w:tcW w:type="pct" w:w="1250"/>
          </w:tcPr>
          <w:p>
            <w:pPr>
              <w:spacing w:after="80" w:before="80"/>
            </w:pPr>
            <w:r>
              <w:rPr>
                <w:rFonts w:ascii="Times New Roman" w:cs="Times New Roman" w:eastAsia="Times New Roman" w:hAnsi="Times New Roman"/>
                <w:color w:val="334155"/>
                <w:sz w:val="20"/>
                <w:szCs w:val="20"/>
              </w:rPr>
              <w:t xml:space="preserve">Fee Ledger &amp; Audit</w:t>
            </w:r>
          </w:p>
        </w:tc>
        <w:tc>
          <w:tcPr>
            <w:tcW w:type="pct" w:w="1250"/>
          </w:tcPr>
          <w:p>
            <w:pPr>
              <w:spacing w:after="80" w:before="80"/>
            </w:pPr>
            <w:r>
              <w:rPr>
                <w:rFonts w:ascii="Times New Roman" w:cs="Times New Roman" w:eastAsia="Times New Roman" w:hAnsi="Times New Roman"/>
                <w:color w:val="334155"/>
                <w:sz w:val="20"/>
                <w:szCs w:val="20"/>
              </w:rPr>
              <w:t xml:space="preserve">Separate accounts silo</w:t>
            </w:r>
          </w:p>
        </w:tc>
        <w:tc>
          <w:tcPr>
            <w:tcW w:type="pct" w:w="1250"/>
          </w:tcPr>
          <w:p>
            <w:pPr>
              <w:spacing w:after="80" w:before="80"/>
            </w:pPr>
            <w:r>
              <w:rPr>
                <w:rFonts w:ascii="Times New Roman" w:cs="Times New Roman" w:eastAsia="Times New Roman" w:hAnsi="Times New Roman"/>
                <w:color w:val="334155"/>
                <w:sz w:val="20"/>
                <w:szCs w:val="20"/>
              </w:rPr>
              <w:t xml:space="preserve">None</w:t>
            </w:r>
          </w:p>
        </w:tc>
        <w:tc>
          <w:tcPr>
            <w:tcW w:type="pct" w:w="1250"/>
          </w:tcPr>
          <w:p>
            <w:pPr>
              <w:spacing w:after="80" w:before="80"/>
            </w:pPr>
            <w:r>
              <w:rPr>
                <w:rFonts w:ascii="Times New Roman" w:cs="Times New Roman" w:eastAsia="Times New Roman" w:hAnsi="Times New Roman"/>
                <w:color w:val="334155"/>
                <w:sz w:val="20"/>
                <w:szCs w:val="20"/>
              </w:rPr>
              <w:t xml:space="preserve">Razorpay gateway + mandatory Save &amp; Audit</w:t>
            </w:r>
          </w:p>
        </w:tc>
      </w:tr>
      <w:tr>
        <w:tc>
          <w:tcPr>
            <w:tcW w:type="pct" w:w="1250"/>
          </w:tcPr>
          <w:p>
            <w:pPr>
              <w:spacing w:after="80" w:before="80"/>
            </w:pPr>
            <w:r>
              <w:rPr>
                <w:rFonts w:ascii="Times New Roman" w:cs="Times New Roman" w:eastAsia="Times New Roman" w:hAnsi="Times New Roman"/>
                <w:color w:val="334155"/>
                <w:sz w:val="20"/>
                <w:szCs w:val="20"/>
              </w:rPr>
              <w:t xml:space="preserve">Testing Rigor</w:t>
            </w:r>
          </w:p>
        </w:tc>
        <w:tc>
          <w:tcPr>
            <w:tcW w:type="pct" w:w="1250"/>
          </w:tcPr>
          <w:p>
            <w:pPr>
              <w:spacing w:after="80" w:before="80"/>
            </w:pPr>
            <w:r>
              <w:rPr>
                <w:rFonts w:ascii="Times New Roman" w:cs="Times New Roman" w:eastAsia="Times New Roman" w:hAnsi="Times New Roman"/>
                <w:color w:val="334155"/>
                <w:sz w:val="20"/>
                <w:szCs w:val="20"/>
              </w:rPr>
              <w:t xml:space="preserve">Varies / manual QA</w:t>
            </w:r>
          </w:p>
        </w:tc>
        <w:tc>
          <w:tcPr>
            <w:tcW w:type="pct" w:w="1250"/>
          </w:tcPr>
          <w:p>
            <w:pPr>
              <w:spacing w:after="80" w:before="80"/>
            </w:pPr>
            <w:r>
              <w:rPr>
                <w:rFonts w:ascii="Times New Roman" w:cs="Times New Roman" w:eastAsia="Times New Roman" w:hAnsi="Times New Roman"/>
                <w:color w:val="334155"/>
                <w:sz w:val="20"/>
                <w:szCs w:val="20"/>
              </w:rPr>
              <w:t xml:space="preserve">Plugin tests</w:t>
            </w:r>
          </w:p>
        </w:tc>
        <w:tc>
          <w:tcPr>
            <w:tcW w:type="pct" w:w="1250"/>
          </w:tcPr>
          <w:p>
            <w:pPr>
              <w:spacing w:after="80" w:before="80"/>
            </w:pPr>
            <w:r>
              <w:rPr>
                <w:rFonts w:ascii="Times New Roman" w:cs="Times New Roman" w:eastAsia="Times New Roman" w:hAnsi="Times New Roman"/>
                <w:color w:val="334155"/>
                <w:sz w:val="20"/>
                <w:szCs w:val="20"/>
              </w:rPr>
              <w:t xml:space="preserve">167 automated test cases passing (Vitest)</w:t>
            </w:r>
          </w:p>
        </w:tc>
      </w:tr>
    </w:tbl>
    <w:p>
      <w:pPr>
        <w:pStyle w:val="Heading1"/>
        <w:pageBreakBefore/>
        <w:spacing w:after="200" w:before="400"/>
        <w:rPr>
          <w:rFonts w:ascii="Times New Roman" w:cs="Times New Roman" w:eastAsia="Times New Roman" w:hAnsi="Times New Roman"/>
          <w:b/>
          <w:bCs/>
          <w:color w:val="0F172A"/>
          <w:sz w:val="32"/>
          <w:szCs w:val="32"/>
        </w:rPr>
      </w:pPr>
      <w:r>
        <w:t xml:space="preserve">CHAPTER 3: REQUIREMENT ANALYSIS</w:t>
      </w:r>
    </w:p>
    <w:p>
      <w:pPr>
        <w:pStyle w:val="Heading2"/>
        <w:spacing w:after="150" w:before="300"/>
        <w:rPr>
          <w:rFonts w:ascii="Times New Roman" w:cs="Times New Roman" w:eastAsia="Times New Roman" w:hAnsi="Times New Roman"/>
          <w:b/>
          <w:bCs/>
          <w:color w:val="1E293B"/>
          <w:sz w:val="28"/>
          <w:szCs w:val="28"/>
        </w:rPr>
      </w:pPr>
      <w:r>
        <w:t xml:space="preserve">3.1 Role-Based Permission Matrix</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KRYPTEDU enforces strict Role-Based Access Control (RBAC) across four primary institutional user types: Student, Faculty, Placement Officer, and System Administrator.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pct" w:w="833"/>
            <w:shd w:fill="F1F5F9" w:val="clear"/>
          </w:tcPr>
          <w:p>
            <w:pPr>
              <w:spacing w:after="100" w:before="100"/>
              <w:jc w:val="center"/>
            </w:pPr>
            <w:r>
              <w:rPr>
                <w:rFonts w:ascii="Times New Roman" w:cs="Times New Roman" w:eastAsia="Times New Roman" w:hAnsi="Times New Roman"/>
                <w:b/>
                <w:bCs/>
                <w:color w:val="0F172A"/>
                <w:sz w:val="22"/>
                <w:szCs w:val="22"/>
              </w:rPr>
              <w:t xml:space="preserve">Role</w:t>
            </w:r>
          </w:p>
        </w:tc>
        <w:tc>
          <w:tcPr>
            <w:tcW w:type="pct" w:w="833"/>
            <w:shd w:fill="F1F5F9" w:val="clear"/>
          </w:tcPr>
          <w:p>
            <w:pPr>
              <w:spacing w:after="100" w:before="100"/>
              <w:jc w:val="center"/>
            </w:pPr>
            <w:r>
              <w:rPr>
                <w:rFonts w:ascii="Times New Roman" w:cs="Times New Roman" w:eastAsia="Times New Roman" w:hAnsi="Times New Roman"/>
                <w:b/>
                <w:bCs/>
                <w:color w:val="0F172A"/>
                <w:sz w:val="22"/>
                <w:szCs w:val="22"/>
              </w:rPr>
              <w:t xml:space="preserve">Academic Profile &amp; CGPA</w:t>
            </w:r>
          </w:p>
        </w:tc>
        <w:tc>
          <w:tcPr>
            <w:tcW w:type="pct" w:w="833"/>
            <w:shd w:fill="F1F5F9" w:val="clear"/>
          </w:tcPr>
          <w:p>
            <w:pPr>
              <w:spacing w:after="100" w:before="100"/>
              <w:jc w:val="center"/>
            </w:pPr>
            <w:r>
              <w:rPr>
                <w:rFonts w:ascii="Times New Roman" w:cs="Times New Roman" w:eastAsia="Times New Roman" w:hAnsi="Times New Roman"/>
                <w:b/>
                <w:bCs/>
                <w:color w:val="0F172A"/>
                <w:sz w:val="22"/>
                <w:szCs w:val="22"/>
              </w:rPr>
              <w:t xml:space="preserve">Attendance Registers</w:t>
            </w:r>
          </w:p>
        </w:tc>
        <w:tc>
          <w:tcPr>
            <w:tcW w:type="pct" w:w="833"/>
            <w:shd w:fill="F1F5F9" w:val="clear"/>
          </w:tcPr>
          <w:p>
            <w:pPr>
              <w:spacing w:after="100" w:before="100"/>
              <w:jc w:val="center"/>
            </w:pPr>
            <w:r>
              <w:rPr>
                <w:rFonts w:ascii="Times New Roman" w:cs="Times New Roman" w:eastAsia="Times New Roman" w:hAnsi="Times New Roman"/>
                <w:b/>
                <w:bCs/>
                <w:color w:val="0F172A"/>
                <w:sz w:val="22"/>
                <w:szCs w:val="22"/>
              </w:rPr>
              <w:t xml:space="preserve">Marks Entry &amp; Publishing</w:t>
            </w:r>
          </w:p>
        </w:tc>
        <w:tc>
          <w:tcPr>
            <w:tcW w:type="pct" w:w="833"/>
            <w:shd w:fill="F1F5F9" w:val="clear"/>
          </w:tcPr>
          <w:p>
            <w:pPr>
              <w:spacing w:after="100" w:before="100"/>
              <w:jc w:val="center"/>
            </w:pPr>
            <w:r>
              <w:rPr>
                <w:rFonts w:ascii="Times New Roman" w:cs="Times New Roman" w:eastAsia="Times New Roman" w:hAnsi="Times New Roman"/>
                <w:b/>
                <w:bCs/>
                <w:color w:val="0F172A"/>
                <w:sz w:val="22"/>
                <w:szCs w:val="22"/>
              </w:rPr>
              <w:t xml:space="preserve">AI Mock Interview</w:t>
            </w:r>
          </w:p>
        </w:tc>
        <w:tc>
          <w:tcPr>
            <w:tcW w:type="pct" w:w="833"/>
            <w:shd w:fill="F1F5F9" w:val="clear"/>
          </w:tcPr>
          <w:p>
            <w:pPr>
              <w:spacing w:after="100" w:before="100"/>
              <w:jc w:val="center"/>
            </w:pPr>
            <w:r>
              <w:rPr>
                <w:rFonts w:ascii="Times New Roman" w:cs="Times New Roman" w:eastAsia="Times New Roman" w:hAnsi="Times New Roman"/>
                <w:b/>
                <w:bCs/>
                <w:color w:val="0F172A"/>
                <w:sz w:val="22"/>
                <w:szCs w:val="22"/>
              </w:rPr>
              <w:t xml:space="preserve">Fee Ledger &amp; Save &amp; Audit</w:t>
            </w:r>
          </w:p>
        </w:tc>
      </w:tr>
      <w:tr>
        <w:tc>
          <w:tcPr>
            <w:tcW w:type="pct" w:w="833"/>
          </w:tcPr>
          <w:p>
            <w:pPr>
              <w:spacing w:after="80" w:before="80"/>
            </w:pPr>
            <w:r>
              <w:rPr>
                <w:rFonts w:ascii="Times New Roman" w:cs="Times New Roman" w:eastAsia="Times New Roman" w:hAnsi="Times New Roman"/>
                <w:color w:val="334155"/>
                <w:sz w:val="20"/>
                <w:szCs w:val="20"/>
              </w:rPr>
              <w:t xml:space="preserve">Student</w:t>
            </w:r>
          </w:p>
        </w:tc>
        <w:tc>
          <w:tcPr>
            <w:tcW w:type="pct" w:w="833"/>
          </w:tcPr>
          <w:p>
            <w:pPr>
              <w:spacing w:after="80" w:before="80"/>
            </w:pPr>
            <w:r>
              <w:rPr>
                <w:rFonts w:ascii="Times New Roman" w:cs="Times New Roman" w:eastAsia="Times New Roman" w:hAnsi="Times New Roman"/>
                <w:color w:val="334155"/>
                <w:sz w:val="20"/>
                <w:szCs w:val="20"/>
              </w:rPr>
              <w:t xml:space="preserve">Read-only (Own)</w:t>
            </w:r>
          </w:p>
        </w:tc>
        <w:tc>
          <w:tcPr>
            <w:tcW w:type="pct" w:w="833"/>
          </w:tcPr>
          <w:p>
            <w:pPr>
              <w:spacing w:after="80" w:before="80"/>
            </w:pPr>
            <w:r>
              <w:rPr>
                <w:rFonts w:ascii="Times New Roman" w:cs="Times New Roman" w:eastAsia="Times New Roman" w:hAnsi="Times New Roman"/>
                <w:color w:val="334155"/>
                <w:sz w:val="20"/>
                <w:szCs w:val="20"/>
              </w:rPr>
              <w:t xml:space="preserve">Read-only (Own)</w:t>
            </w:r>
          </w:p>
        </w:tc>
        <w:tc>
          <w:tcPr>
            <w:tcW w:type="pct" w:w="833"/>
          </w:tcPr>
          <w:p>
            <w:pPr>
              <w:spacing w:after="80" w:before="80"/>
            </w:pPr>
            <w:r>
              <w:rPr>
                <w:rFonts w:ascii="Times New Roman" w:cs="Times New Roman" w:eastAsia="Times New Roman" w:hAnsi="Times New Roman"/>
                <w:color w:val="334155"/>
                <w:sz w:val="20"/>
                <w:szCs w:val="20"/>
              </w:rPr>
              <w:t xml:space="preserve">No Access</w:t>
            </w:r>
          </w:p>
        </w:tc>
        <w:tc>
          <w:tcPr>
            <w:tcW w:type="pct" w:w="833"/>
          </w:tcPr>
          <w:p>
            <w:pPr>
              <w:spacing w:after="80" w:before="80"/>
            </w:pPr>
            <w:r>
              <w:rPr>
                <w:rFonts w:ascii="Times New Roman" w:cs="Times New Roman" w:eastAsia="Times New Roman" w:hAnsi="Times New Roman"/>
                <w:color w:val="334155"/>
                <w:sz w:val="20"/>
                <w:szCs w:val="20"/>
              </w:rPr>
              <w:t xml:space="preserve">Full Access</w:t>
            </w:r>
          </w:p>
        </w:tc>
        <w:tc>
          <w:tcPr>
            <w:tcW w:type="pct" w:w="833"/>
          </w:tcPr>
          <w:p>
            <w:pPr>
              <w:spacing w:after="80" w:before="80"/>
            </w:pPr>
            <w:r>
              <w:rPr>
                <w:rFonts w:ascii="Times New Roman" w:cs="Times New Roman" w:eastAsia="Times New Roman" w:hAnsi="Times New Roman"/>
                <w:color w:val="334155"/>
                <w:sz w:val="20"/>
                <w:szCs w:val="20"/>
              </w:rPr>
              <w:t xml:space="preserve">Online Payment via Razorpay</w:t>
            </w:r>
          </w:p>
        </w:tc>
      </w:tr>
      <w:tr>
        <w:tc>
          <w:tcPr>
            <w:tcW w:type="pct" w:w="833"/>
          </w:tcPr>
          <w:p>
            <w:pPr>
              <w:spacing w:after="80" w:before="80"/>
            </w:pPr>
            <w:r>
              <w:rPr>
                <w:rFonts w:ascii="Times New Roman" w:cs="Times New Roman" w:eastAsia="Times New Roman" w:hAnsi="Times New Roman"/>
                <w:color w:val="334155"/>
                <w:sz w:val="20"/>
                <w:szCs w:val="20"/>
              </w:rPr>
              <w:t xml:space="preserve">Faculty</w:t>
            </w:r>
          </w:p>
        </w:tc>
        <w:tc>
          <w:tcPr>
            <w:tcW w:type="pct" w:w="833"/>
          </w:tcPr>
          <w:p>
            <w:pPr>
              <w:spacing w:after="80" w:before="80"/>
            </w:pPr>
            <w:r>
              <w:rPr>
                <w:rFonts w:ascii="Times New Roman" w:cs="Times New Roman" w:eastAsia="Times New Roman" w:hAnsi="Times New Roman"/>
                <w:color w:val="334155"/>
                <w:sz w:val="20"/>
                <w:szCs w:val="20"/>
              </w:rPr>
              <w:t xml:space="preserve">Read-only (Dept/All)</w:t>
            </w:r>
          </w:p>
        </w:tc>
        <w:tc>
          <w:tcPr>
            <w:tcW w:type="pct" w:w="833"/>
          </w:tcPr>
          <w:p>
            <w:pPr>
              <w:spacing w:after="80" w:before="80"/>
            </w:pPr>
            <w:r>
              <w:rPr>
                <w:rFonts w:ascii="Times New Roman" w:cs="Times New Roman" w:eastAsia="Times New Roman" w:hAnsi="Times New Roman"/>
                <w:color w:val="334155"/>
                <w:sz w:val="20"/>
                <w:szCs w:val="20"/>
              </w:rPr>
              <w:t xml:space="preserve">Create, Mark &amp; Publish</w:t>
            </w:r>
          </w:p>
        </w:tc>
        <w:tc>
          <w:tcPr>
            <w:tcW w:type="pct" w:w="833"/>
          </w:tcPr>
          <w:p>
            <w:pPr>
              <w:spacing w:after="80" w:before="80"/>
            </w:pPr>
            <w:r>
              <w:rPr>
                <w:rFonts w:ascii="Times New Roman" w:cs="Times New Roman" w:eastAsia="Times New Roman" w:hAnsi="Times New Roman"/>
                <w:color w:val="334155"/>
                <w:sz w:val="20"/>
                <w:szCs w:val="20"/>
              </w:rPr>
              <w:t xml:space="preserve">Enter Marks &amp; Publish</w:t>
            </w:r>
          </w:p>
        </w:tc>
        <w:tc>
          <w:tcPr>
            <w:tcW w:type="pct" w:w="833"/>
          </w:tcPr>
          <w:p>
            <w:pPr>
              <w:spacing w:after="80" w:before="80"/>
            </w:pPr>
            <w:r>
              <w:rPr>
                <w:rFonts w:ascii="Times New Roman" w:cs="Times New Roman" w:eastAsia="Times New Roman" w:hAnsi="Times New Roman"/>
                <w:color w:val="334155"/>
                <w:sz w:val="20"/>
                <w:szCs w:val="20"/>
              </w:rPr>
              <w:t xml:space="preserve">Full Access</w:t>
            </w:r>
          </w:p>
        </w:tc>
        <w:tc>
          <w:tcPr>
            <w:tcW w:type="pct" w:w="833"/>
          </w:tcPr>
          <w:p>
            <w:pPr>
              <w:spacing w:after="80" w:before="80"/>
            </w:pPr>
            <w:r>
              <w:rPr>
                <w:rFonts w:ascii="Times New Roman" w:cs="Times New Roman" w:eastAsia="Times New Roman" w:hAnsi="Times New Roman"/>
                <w:color w:val="334155"/>
                <w:sz w:val="20"/>
                <w:szCs w:val="20"/>
              </w:rPr>
              <w:t xml:space="preserve">No Access</w:t>
            </w:r>
          </w:p>
        </w:tc>
      </w:tr>
      <w:tr>
        <w:tc>
          <w:tcPr>
            <w:tcW w:type="pct" w:w="833"/>
          </w:tcPr>
          <w:p>
            <w:pPr>
              <w:spacing w:after="80" w:before="80"/>
            </w:pPr>
            <w:r>
              <w:rPr>
                <w:rFonts w:ascii="Times New Roman" w:cs="Times New Roman" w:eastAsia="Times New Roman" w:hAnsi="Times New Roman"/>
                <w:color w:val="334155"/>
                <w:sz w:val="20"/>
                <w:szCs w:val="20"/>
              </w:rPr>
              <w:t xml:space="preserve">Placement Officer</w:t>
            </w:r>
          </w:p>
        </w:tc>
        <w:tc>
          <w:tcPr>
            <w:tcW w:type="pct" w:w="833"/>
          </w:tcPr>
          <w:p>
            <w:pPr>
              <w:spacing w:after="80" w:before="80"/>
            </w:pPr>
            <w:r>
              <w:rPr>
                <w:rFonts w:ascii="Times New Roman" w:cs="Times New Roman" w:eastAsia="Times New Roman" w:hAnsi="Times New Roman"/>
                <w:color w:val="334155"/>
                <w:sz w:val="20"/>
                <w:szCs w:val="20"/>
              </w:rPr>
              <w:t xml:space="preserve">Read-only (All)</w:t>
            </w:r>
          </w:p>
        </w:tc>
        <w:tc>
          <w:tcPr>
            <w:tcW w:type="pct" w:w="833"/>
          </w:tcPr>
          <w:p>
            <w:pPr>
              <w:spacing w:after="80" w:before="80"/>
            </w:pPr>
            <w:r>
              <w:rPr>
                <w:rFonts w:ascii="Times New Roman" w:cs="Times New Roman" w:eastAsia="Times New Roman" w:hAnsi="Times New Roman"/>
                <w:color w:val="334155"/>
                <w:sz w:val="20"/>
                <w:szCs w:val="20"/>
              </w:rPr>
              <w:t xml:space="preserve">Read-only (All)</w:t>
            </w:r>
          </w:p>
        </w:tc>
        <w:tc>
          <w:tcPr>
            <w:tcW w:type="pct" w:w="833"/>
          </w:tcPr>
          <w:p>
            <w:pPr>
              <w:spacing w:after="80" w:before="80"/>
            </w:pPr>
            <w:r>
              <w:rPr>
                <w:rFonts w:ascii="Times New Roman" w:cs="Times New Roman" w:eastAsia="Times New Roman" w:hAnsi="Times New Roman"/>
                <w:color w:val="334155"/>
                <w:sz w:val="20"/>
                <w:szCs w:val="20"/>
              </w:rPr>
              <w:t xml:space="preserve">No Access</w:t>
            </w:r>
          </w:p>
        </w:tc>
        <w:tc>
          <w:tcPr>
            <w:tcW w:type="pct" w:w="833"/>
          </w:tcPr>
          <w:p>
            <w:pPr>
              <w:spacing w:after="80" w:before="80"/>
            </w:pPr>
            <w:r>
              <w:rPr>
                <w:rFonts w:ascii="Times New Roman" w:cs="Times New Roman" w:eastAsia="Times New Roman" w:hAnsi="Times New Roman"/>
                <w:color w:val="334155"/>
                <w:sz w:val="20"/>
                <w:szCs w:val="20"/>
              </w:rPr>
              <w:t xml:space="preserve">Full Access &amp; Analytics</w:t>
            </w:r>
          </w:p>
        </w:tc>
        <w:tc>
          <w:tcPr>
            <w:tcW w:type="pct" w:w="833"/>
          </w:tcPr>
          <w:p>
            <w:pPr>
              <w:spacing w:after="80" w:before="80"/>
            </w:pPr>
            <w:r>
              <w:rPr>
                <w:rFonts w:ascii="Times New Roman" w:cs="Times New Roman" w:eastAsia="Times New Roman" w:hAnsi="Times New Roman"/>
                <w:color w:val="334155"/>
                <w:sz w:val="20"/>
                <w:szCs w:val="20"/>
              </w:rPr>
              <w:t xml:space="preserve">No Access</w:t>
            </w:r>
          </w:p>
        </w:tc>
      </w:tr>
      <w:tr>
        <w:tc>
          <w:tcPr>
            <w:tcW w:type="pct" w:w="833"/>
          </w:tcPr>
          <w:p>
            <w:pPr>
              <w:spacing w:after="80" w:before="80"/>
            </w:pPr>
            <w:r>
              <w:rPr>
                <w:rFonts w:ascii="Times New Roman" w:cs="Times New Roman" w:eastAsia="Times New Roman" w:hAnsi="Times New Roman"/>
                <w:color w:val="334155"/>
                <w:sz w:val="20"/>
                <w:szCs w:val="20"/>
              </w:rPr>
              <w:t xml:space="preserve">Administrator</w:t>
            </w:r>
          </w:p>
        </w:tc>
        <w:tc>
          <w:tcPr>
            <w:tcW w:type="pct" w:w="833"/>
          </w:tcPr>
          <w:p>
            <w:pPr>
              <w:spacing w:after="80" w:before="80"/>
            </w:pPr>
            <w:r>
              <w:rPr>
                <w:rFonts w:ascii="Times New Roman" w:cs="Times New Roman" w:eastAsia="Times New Roman" w:hAnsi="Times New Roman"/>
                <w:color w:val="334155"/>
                <w:sz w:val="20"/>
                <w:szCs w:val="20"/>
              </w:rPr>
              <w:t xml:space="preserve">Full Management</w:t>
            </w:r>
          </w:p>
        </w:tc>
        <w:tc>
          <w:tcPr>
            <w:tcW w:type="pct" w:w="833"/>
          </w:tcPr>
          <w:p>
            <w:pPr>
              <w:spacing w:after="80" w:before="80"/>
            </w:pPr>
            <w:r>
              <w:rPr>
                <w:rFonts w:ascii="Times New Roman" w:cs="Times New Roman" w:eastAsia="Times New Roman" w:hAnsi="Times New Roman"/>
                <w:color w:val="334155"/>
                <w:sz w:val="20"/>
                <w:szCs w:val="20"/>
              </w:rPr>
              <w:t xml:space="preserve">Full Management</w:t>
            </w:r>
          </w:p>
        </w:tc>
        <w:tc>
          <w:tcPr>
            <w:tcW w:type="pct" w:w="833"/>
          </w:tcPr>
          <w:p>
            <w:pPr>
              <w:spacing w:after="80" w:before="80"/>
            </w:pPr>
            <w:r>
              <w:rPr>
                <w:rFonts w:ascii="Times New Roman" w:cs="Times New Roman" w:eastAsia="Times New Roman" w:hAnsi="Times New Roman"/>
                <w:color w:val="334155"/>
                <w:sz w:val="20"/>
                <w:szCs w:val="20"/>
              </w:rPr>
              <w:t xml:space="preserve">Full Management</w:t>
            </w:r>
          </w:p>
        </w:tc>
        <w:tc>
          <w:tcPr>
            <w:tcW w:type="pct" w:w="833"/>
          </w:tcPr>
          <w:p>
            <w:pPr>
              <w:spacing w:after="80" w:before="80"/>
            </w:pPr>
            <w:r>
              <w:rPr>
                <w:rFonts w:ascii="Times New Roman" w:cs="Times New Roman" w:eastAsia="Times New Roman" w:hAnsi="Times New Roman"/>
                <w:color w:val="334155"/>
                <w:sz w:val="20"/>
                <w:szCs w:val="20"/>
              </w:rPr>
              <w:t xml:space="preserve">Full Management</w:t>
            </w:r>
          </w:p>
        </w:tc>
        <w:tc>
          <w:tcPr>
            <w:tcW w:type="pct" w:w="833"/>
          </w:tcPr>
          <w:p>
            <w:pPr>
              <w:spacing w:after="80" w:before="80"/>
            </w:pPr>
            <w:r>
              <w:rPr>
                <w:rFonts w:ascii="Times New Roman" w:cs="Times New Roman" w:eastAsia="Times New Roman" w:hAnsi="Times New Roman"/>
                <w:color w:val="334155"/>
                <w:sz w:val="20"/>
                <w:szCs w:val="20"/>
              </w:rPr>
              <w:t xml:space="preserve">Full Management ('Save &amp; Audit')</w:t>
            </w:r>
          </w:p>
        </w:tc>
      </w:tr>
    </w:tbl>
    <w:p>
      <w:pPr>
        <w:pStyle w:val="Heading1"/>
        <w:pageBreakBefore/>
        <w:spacing w:after="200" w:before="400"/>
        <w:rPr>
          <w:rFonts w:ascii="Times New Roman" w:cs="Times New Roman" w:eastAsia="Times New Roman" w:hAnsi="Times New Roman"/>
          <w:b/>
          <w:bCs/>
          <w:color w:val="0F172A"/>
          <w:sz w:val="32"/>
          <w:szCs w:val="32"/>
        </w:rPr>
      </w:pPr>
      <w:r>
        <w:t xml:space="preserve">CHAPTER 4 &amp; 5: SYSTEM DESIGN, ARCHITECTURE &amp; TECHNOLOGY STACK</w:t>
      </w:r>
    </w:p>
    <w:p>
      <w:pPr>
        <w:pStyle w:val="Heading2"/>
        <w:spacing w:after="150" w:before="300"/>
        <w:rPr>
          <w:rFonts w:ascii="Times New Roman" w:cs="Times New Roman" w:eastAsia="Times New Roman" w:hAnsi="Times New Roman"/>
          <w:b/>
          <w:bCs/>
          <w:color w:val="1E293B"/>
          <w:sz w:val="28"/>
          <w:szCs w:val="28"/>
        </w:rPr>
      </w:pPr>
      <w:r>
        <w:t xml:space="preserve">4.1 Architecture Overview</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The platform leverages a three-tier cloud-native architecture combining React 19 on the client, TanStack Start full-stack server functions on Nitro, and Supabase PostgreSQL with Row-Level Security.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Layer</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Technology</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Version</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Key Architectural Rationale</w:t>
            </w:r>
          </w:p>
        </w:tc>
      </w:tr>
      <w:tr>
        <w:tc>
          <w:tcPr>
            <w:tcW w:type="pct" w:w="1250"/>
          </w:tcPr>
          <w:p>
            <w:pPr>
              <w:spacing w:after="80" w:before="80"/>
            </w:pPr>
            <w:r>
              <w:rPr>
                <w:rFonts w:ascii="Times New Roman" w:cs="Times New Roman" w:eastAsia="Times New Roman" w:hAnsi="Times New Roman"/>
                <w:color w:val="334155"/>
                <w:sz w:val="20"/>
                <w:szCs w:val="20"/>
              </w:rPr>
              <w:t xml:space="preserve">Frontend UI</w:t>
            </w:r>
          </w:p>
        </w:tc>
        <w:tc>
          <w:tcPr>
            <w:tcW w:type="pct" w:w="1250"/>
          </w:tcPr>
          <w:p>
            <w:pPr>
              <w:spacing w:after="80" w:before="80"/>
            </w:pPr>
            <w:r>
              <w:rPr>
                <w:rFonts w:ascii="Times New Roman" w:cs="Times New Roman" w:eastAsia="Times New Roman" w:hAnsi="Times New Roman"/>
                <w:color w:val="334155"/>
                <w:sz w:val="20"/>
                <w:szCs w:val="20"/>
              </w:rPr>
              <w:t xml:space="preserve">React &amp; TanStack Router</w:t>
            </w:r>
          </w:p>
        </w:tc>
        <w:tc>
          <w:tcPr>
            <w:tcW w:type="pct" w:w="1250"/>
          </w:tcPr>
          <w:p>
            <w:pPr>
              <w:spacing w:after="80" w:before="80"/>
            </w:pPr>
            <w:r>
              <w:rPr>
                <w:rFonts w:ascii="Times New Roman" w:cs="Times New Roman" w:eastAsia="Times New Roman" w:hAnsi="Times New Roman"/>
                <w:color w:val="334155"/>
                <w:sz w:val="20"/>
                <w:szCs w:val="20"/>
              </w:rPr>
              <w:t xml:space="preserve">v19.2 / v1.164</w:t>
            </w:r>
          </w:p>
        </w:tc>
        <w:tc>
          <w:tcPr>
            <w:tcW w:type="pct" w:w="1250"/>
          </w:tcPr>
          <w:p>
            <w:pPr>
              <w:spacing w:after="80" w:before="80"/>
            </w:pPr>
            <w:r>
              <w:rPr>
                <w:rFonts w:ascii="Times New Roman" w:cs="Times New Roman" w:eastAsia="Times New Roman" w:hAnsi="Times New Roman"/>
                <w:color w:val="334155"/>
                <w:sz w:val="20"/>
                <w:szCs w:val="20"/>
              </w:rPr>
              <w:t xml:space="preserve">Concurrent rendering, 100% type-safe file-based routing</w:t>
            </w:r>
          </w:p>
        </w:tc>
      </w:tr>
      <w:tr>
        <w:tc>
          <w:tcPr>
            <w:tcW w:type="pct" w:w="1250"/>
          </w:tcPr>
          <w:p>
            <w:pPr>
              <w:spacing w:after="80" w:before="80"/>
            </w:pPr>
            <w:r>
              <w:rPr>
                <w:rFonts w:ascii="Times New Roman" w:cs="Times New Roman" w:eastAsia="Times New Roman" w:hAnsi="Times New Roman"/>
                <w:color w:val="334155"/>
                <w:sz w:val="20"/>
                <w:szCs w:val="20"/>
              </w:rPr>
              <w:t xml:space="preserve">Server Engine</w:t>
            </w:r>
          </w:p>
        </w:tc>
        <w:tc>
          <w:tcPr>
            <w:tcW w:type="pct" w:w="1250"/>
          </w:tcPr>
          <w:p>
            <w:pPr>
              <w:spacing w:after="80" w:before="80"/>
            </w:pPr>
            <w:r>
              <w:rPr>
                <w:rFonts w:ascii="Times New Roman" w:cs="Times New Roman" w:eastAsia="Times New Roman" w:hAnsi="Times New Roman"/>
                <w:color w:val="334155"/>
                <w:sz w:val="20"/>
                <w:szCs w:val="20"/>
              </w:rPr>
              <w:t xml:space="preserve">Nitro &amp; TanStack Start</w:t>
            </w:r>
          </w:p>
        </w:tc>
        <w:tc>
          <w:tcPr>
            <w:tcW w:type="pct" w:w="1250"/>
          </w:tcPr>
          <w:p>
            <w:pPr>
              <w:spacing w:after="80" w:before="80"/>
            </w:pPr>
            <w:r>
              <w:rPr>
                <w:rFonts w:ascii="Times New Roman" w:cs="Times New Roman" w:eastAsia="Times New Roman" w:hAnsi="Times New Roman"/>
                <w:color w:val="334155"/>
                <w:sz w:val="20"/>
                <w:szCs w:val="20"/>
              </w:rPr>
              <w:t xml:space="preserve">v8.1.5</w:t>
            </w:r>
          </w:p>
        </w:tc>
        <w:tc>
          <w:tcPr>
            <w:tcW w:type="pct" w:w="1250"/>
          </w:tcPr>
          <w:p>
            <w:pPr>
              <w:spacing w:after="80" w:before="80"/>
            </w:pPr>
            <w:r>
              <w:rPr>
                <w:rFonts w:ascii="Times New Roman" w:cs="Times New Roman" w:eastAsia="Times New Roman" w:hAnsi="Times New Roman"/>
                <w:color w:val="334155"/>
                <w:sz w:val="20"/>
                <w:szCs w:val="20"/>
              </w:rPr>
              <w:t xml:space="preserve">Serverless edge functions, server-side data loaders, zero secret leaks</w:t>
            </w:r>
          </w:p>
        </w:tc>
      </w:tr>
      <w:tr>
        <w:tc>
          <w:tcPr>
            <w:tcW w:type="pct" w:w="1250"/>
          </w:tcPr>
          <w:p>
            <w:pPr>
              <w:spacing w:after="80" w:before="80"/>
            </w:pPr>
            <w:r>
              <w:rPr>
                <w:rFonts w:ascii="Times New Roman" w:cs="Times New Roman" w:eastAsia="Times New Roman" w:hAnsi="Times New Roman"/>
                <w:color w:val="334155"/>
                <w:sz w:val="20"/>
                <w:szCs w:val="20"/>
              </w:rPr>
              <w:t xml:space="preserve">Database &amp; Auth</w:t>
            </w:r>
          </w:p>
        </w:tc>
        <w:tc>
          <w:tcPr>
            <w:tcW w:type="pct" w:w="1250"/>
          </w:tcPr>
          <w:p>
            <w:pPr>
              <w:spacing w:after="80" w:before="80"/>
            </w:pPr>
            <w:r>
              <w:rPr>
                <w:rFonts w:ascii="Times New Roman" w:cs="Times New Roman" w:eastAsia="Times New Roman" w:hAnsi="Times New Roman"/>
                <w:color w:val="334155"/>
                <w:sz w:val="20"/>
                <w:szCs w:val="20"/>
              </w:rPr>
              <w:t xml:space="preserve">Supabase PostgreSQL &amp; GoTrue</w:t>
            </w:r>
          </w:p>
        </w:tc>
        <w:tc>
          <w:tcPr>
            <w:tcW w:type="pct" w:w="1250"/>
          </w:tcPr>
          <w:p>
            <w:pPr>
              <w:spacing w:after="80" w:before="80"/>
            </w:pPr>
            <w:r>
              <w:rPr>
                <w:rFonts w:ascii="Times New Roman" w:cs="Times New Roman" w:eastAsia="Times New Roman" w:hAnsi="Times New Roman"/>
                <w:color w:val="334155"/>
                <w:sz w:val="20"/>
                <w:szCs w:val="20"/>
              </w:rPr>
              <w:t xml:space="preserve">v2.99</w:t>
            </w:r>
          </w:p>
        </w:tc>
        <w:tc>
          <w:tcPr>
            <w:tcW w:type="pct" w:w="1250"/>
          </w:tcPr>
          <w:p>
            <w:pPr>
              <w:spacing w:after="80" w:before="80"/>
            </w:pPr>
            <w:r>
              <w:rPr>
                <w:rFonts w:ascii="Times New Roman" w:cs="Times New Roman" w:eastAsia="Times New Roman" w:hAnsi="Times New Roman"/>
                <w:color w:val="334155"/>
                <w:sz w:val="20"/>
                <w:szCs w:val="20"/>
              </w:rPr>
              <w:t xml:space="preserve">ACID transactions, foreign key integrity, RSA-signed JWT tokens</w:t>
            </w:r>
          </w:p>
        </w:tc>
      </w:tr>
      <w:tr>
        <w:tc>
          <w:tcPr>
            <w:tcW w:type="pct" w:w="1250"/>
          </w:tcPr>
          <w:p>
            <w:pPr>
              <w:spacing w:after="80" w:before="80"/>
            </w:pPr>
            <w:r>
              <w:rPr>
                <w:rFonts w:ascii="Times New Roman" w:cs="Times New Roman" w:eastAsia="Times New Roman" w:hAnsi="Times New Roman"/>
                <w:color w:val="334155"/>
                <w:sz w:val="20"/>
                <w:szCs w:val="20"/>
              </w:rPr>
              <w:t xml:space="preserve">AI Service</w:t>
            </w:r>
          </w:p>
        </w:tc>
        <w:tc>
          <w:tcPr>
            <w:tcW w:type="pct" w:w="1250"/>
          </w:tcPr>
          <w:p>
            <w:pPr>
              <w:spacing w:after="80" w:before="80"/>
            </w:pPr>
            <w:r>
              <w:rPr>
                <w:rFonts w:ascii="Times New Roman" w:cs="Times New Roman" w:eastAsia="Times New Roman" w:hAnsi="Times New Roman"/>
                <w:color w:val="334155"/>
                <w:sz w:val="20"/>
                <w:szCs w:val="20"/>
              </w:rPr>
              <w:t xml:space="preserve">Google GenAI SDK (@google/genai)</w:t>
            </w:r>
          </w:p>
        </w:tc>
        <w:tc>
          <w:tcPr>
            <w:tcW w:type="pct" w:w="1250"/>
          </w:tcPr>
          <w:p>
            <w:pPr>
              <w:spacing w:after="80" w:before="80"/>
            </w:pPr>
            <w:r>
              <w:rPr>
                <w:rFonts w:ascii="Times New Roman" w:cs="Times New Roman" w:eastAsia="Times New Roman" w:hAnsi="Times New Roman"/>
                <w:color w:val="334155"/>
                <w:sz w:val="20"/>
                <w:szCs w:val="20"/>
              </w:rPr>
              <w:t xml:space="preserve">v2.28</w:t>
            </w:r>
          </w:p>
        </w:tc>
        <w:tc>
          <w:tcPr>
            <w:tcW w:type="pct" w:w="1250"/>
          </w:tcPr>
          <w:p>
            <w:pPr>
              <w:spacing w:after="80" w:before="80"/>
            </w:pPr>
            <w:r>
              <w:rPr>
                <w:rFonts w:ascii="Times New Roman" w:cs="Times New Roman" w:eastAsia="Times New Roman" w:hAnsi="Times New Roman"/>
                <w:color w:val="334155"/>
                <w:sz w:val="20"/>
                <w:szCs w:val="20"/>
              </w:rPr>
              <w:t xml:space="preserve">Official unified SDK, gemini-3.8-flash model, structured JSON schema</w:t>
            </w:r>
          </w:p>
        </w:tc>
      </w:tr>
      <w:tr>
        <w:tc>
          <w:tcPr>
            <w:tcW w:type="pct" w:w="1250"/>
          </w:tcPr>
          <w:p>
            <w:pPr>
              <w:spacing w:after="80" w:before="80"/>
            </w:pPr>
            <w:r>
              <w:rPr>
                <w:rFonts w:ascii="Times New Roman" w:cs="Times New Roman" w:eastAsia="Times New Roman" w:hAnsi="Times New Roman"/>
                <w:color w:val="334155"/>
                <w:sz w:val="20"/>
                <w:szCs w:val="20"/>
              </w:rPr>
              <w:t xml:space="preserve">Testing</w:t>
            </w:r>
          </w:p>
        </w:tc>
        <w:tc>
          <w:tcPr>
            <w:tcW w:type="pct" w:w="1250"/>
          </w:tcPr>
          <w:p>
            <w:pPr>
              <w:spacing w:after="80" w:before="80"/>
            </w:pPr>
            <w:r>
              <w:rPr>
                <w:rFonts w:ascii="Times New Roman" w:cs="Times New Roman" w:eastAsia="Times New Roman" w:hAnsi="Times New Roman"/>
                <w:color w:val="334155"/>
                <w:sz w:val="20"/>
                <w:szCs w:val="20"/>
              </w:rPr>
              <w:t xml:space="preserve">Vitest</w:t>
            </w:r>
          </w:p>
        </w:tc>
        <w:tc>
          <w:tcPr>
            <w:tcW w:type="pct" w:w="1250"/>
          </w:tcPr>
          <w:p>
            <w:pPr>
              <w:spacing w:after="80" w:before="80"/>
            </w:pPr>
            <w:r>
              <w:rPr>
                <w:rFonts w:ascii="Times New Roman" w:cs="Times New Roman" w:eastAsia="Times New Roman" w:hAnsi="Times New Roman"/>
                <w:color w:val="334155"/>
                <w:sz w:val="20"/>
                <w:szCs w:val="20"/>
              </w:rPr>
              <w:t xml:space="preserve">v4.1.11</w:t>
            </w:r>
          </w:p>
        </w:tc>
        <w:tc>
          <w:tcPr>
            <w:tcW w:type="pct" w:w="1250"/>
          </w:tcPr>
          <w:p>
            <w:pPr>
              <w:spacing w:after="80" w:before="80"/>
            </w:pPr>
            <w:r>
              <w:rPr>
                <w:rFonts w:ascii="Times New Roman" w:cs="Times New Roman" w:eastAsia="Times New Roman" w:hAnsi="Times New Roman"/>
                <w:color w:val="334155"/>
                <w:sz w:val="20"/>
                <w:szCs w:val="20"/>
              </w:rPr>
              <w:t xml:space="preserve">167 unit, integration, and security tests executing in 8.30 seconds</w:t>
            </w:r>
          </w:p>
        </w:tc>
      </w:tr>
    </w:tbl>
    <w:p>
      <w:pPr>
        <w:pStyle w:val="Heading1"/>
        <w:pageBreakBefore/>
        <w:spacing w:after="200" w:before="400"/>
        <w:rPr>
          <w:rFonts w:ascii="Times New Roman" w:cs="Times New Roman" w:eastAsia="Times New Roman" w:hAnsi="Times New Roman"/>
          <w:b/>
          <w:bCs/>
          <w:color w:val="0F172A"/>
          <w:sz w:val="32"/>
          <w:szCs w:val="32"/>
        </w:rPr>
      </w:pPr>
      <w:r>
        <w:t xml:space="preserve">CHAPTER 6 &amp; 7: MODULE IMPLEMENTATION &amp; DATABASE DESIGN</w:t>
      </w:r>
    </w:p>
    <w:p>
      <w:pPr>
        <w:pStyle w:val="Heading2"/>
        <w:spacing w:after="150" w:before="300"/>
        <w:rPr>
          <w:rFonts w:ascii="Times New Roman" w:cs="Times New Roman" w:eastAsia="Times New Roman" w:hAnsi="Times New Roman"/>
          <w:b/>
          <w:bCs/>
          <w:color w:val="1E293B"/>
          <w:sz w:val="28"/>
          <w:szCs w:val="28"/>
        </w:rPr>
      </w:pPr>
      <w:r>
        <w:t xml:space="preserve">6.1 Core Subsystems</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Student Management: </w:t>
      </w:r>
      <w:r>
        <w:rPr>
          <w:rFonts w:ascii="Times New Roman" w:cs="Times New Roman" w:eastAsia="Times New Roman" w:hAnsi="Times New Roman"/>
          <w:color w:val="1F2937"/>
          <w:sz w:val="24"/>
          <w:szCs w:val="24"/>
        </w:rPr>
        <w:t xml:space="preserve">Authoritative registry with search, department filtering, and 360-degree profile drawer.</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Attendance Management: </w:t>
      </w:r>
      <w:r>
        <w:rPr>
          <w:rFonts w:ascii="Times New Roman" w:cs="Times New Roman" w:eastAsia="Times New Roman" w:hAnsi="Times New Roman"/>
          <w:color w:val="1F2937"/>
          <w:sz w:val="24"/>
          <w:szCs w:val="24"/>
        </w:rPr>
        <w:t xml:space="preserve">Session creation, daily student roster marking, draft/publish workflow, and instant percentage calculation.</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Academic Management: </w:t>
      </w:r>
      <w:r>
        <w:rPr>
          <w:rFonts w:ascii="Times New Roman" w:cs="Times New Roman" w:eastAsia="Times New Roman" w:hAnsi="Times New Roman"/>
          <w:color w:val="1F2937"/>
          <w:sz w:val="24"/>
          <w:szCs w:val="24"/>
        </w:rPr>
        <w:t xml:space="preserve">Curricula for CSE, AIML, and CSF across semesters 1–8; 50 Written + 50 Internal marks scale; authoritative CGPA ledger.</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Placement Readiness Model: </w:t>
      </w:r>
      <w:r>
        <w:rPr>
          <w:rFonts w:ascii="Times New Roman" w:cs="Times New Roman" w:eastAsia="Times New Roman" w:hAnsi="Times New Roman"/>
          <w:color w:val="1F2937"/>
          <w:sz w:val="24"/>
          <w:szCs w:val="24"/>
        </w:rPr>
        <w:t xml:space="preserve">R = 0.25G + 0.25T + 0.20I + 0.20P + 0.10C balancing academics, coding, interview, and attendance discipline.</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AI Mock Interview Studio: </w:t>
      </w:r>
      <w:r>
        <w:rPr>
          <w:rFonts w:ascii="Times New Roman" w:cs="Times New Roman" w:eastAsia="Times New Roman" w:hAnsi="Times New Roman"/>
          <w:color w:val="1F2937"/>
          <w:sz w:val="24"/>
          <w:szCs w:val="24"/>
        </w:rPr>
        <w:t xml:space="preserve">Voice-enabled speech-to-text, dynamic follow-up questioning, rubric scoring, and 10-part debrief report.</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Course Fee Ledger: </w:t>
      </w:r>
      <w:r>
        <w:rPr>
          <w:rFonts w:ascii="Times New Roman" w:cs="Times New Roman" w:eastAsia="Times New Roman" w:hAnsi="Times New Roman"/>
          <w:color w:val="1F2937"/>
          <w:sz w:val="24"/>
          <w:szCs w:val="24"/>
        </w:rPr>
        <w:t xml:space="preserve">Razorpay checkout, student tuition ledger, and mandatory reason audit logging ('Save &amp; Audit').</w:t>
      </w:r>
    </w:p>
    <w:p>
      <w:pPr>
        <w:pStyle w:val="Heading1"/>
        <w:pageBreakBefore/>
        <w:spacing w:after="200" w:before="400"/>
        <w:rPr>
          <w:rFonts w:ascii="Times New Roman" w:cs="Times New Roman" w:eastAsia="Times New Roman" w:hAnsi="Times New Roman"/>
          <w:b/>
          <w:bCs/>
          <w:color w:val="0F172A"/>
          <w:sz w:val="32"/>
          <w:szCs w:val="32"/>
        </w:rPr>
      </w:pPr>
      <w:r>
        <w:t xml:space="preserve">CHAPTER 8: ALGORITHMS AND ANALYTICAL METHODS</w:t>
      </w:r>
    </w:p>
    <w:p>
      <w:pPr>
        <w:pStyle w:val="Heading2"/>
        <w:spacing w:after="150" w:before="300"/>
        <w:rPr>
          <w:rFonts w:ascii="Times New Roman" w:cs="Times New Roman" w:eastAsia="Times New Roman" w:hAnsi="Times New Roman"/>
          <w:b/>
          <w:bCs/>
          <w:color w:val="1E293B"/>
          <w:sz w:val="28"/>
          <w:szCs w:val="28"/>
        </w:rPr>
      </w:pPr>
      <w:r>
        <w:t xml:space="preserve">8.1 Credit-Weighted CGPA Calculation</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CGPA = [ SUM(Credits_i * GradePoint_i) ] / [ SUM(Credits_i) ] across all completed courses, where Grade Points map from 10-point scales: O (&gt;=90: 10), A+ (80-89: 9), A (70-79: 8), B+ (60-69: 7), B (50-59: 6), C (40-49: 5), F (&lt;40: 0).</w:t>
      </w:r>
    </w:p>
    <w:p>
      <w:pPr>
        <w:pStyle w:val="Heading2"/>
        <w:spacing w:after="150" w:before="300"/>
        <w:rPr>
          <w:rFonts w:ascii="Times New Roman" w:cs="Times New Roman" w:eastAsia="Times New Roman" w:hAnsi="Times New Roman"/>
          <w:b/>
          <w:bCs/>
          <w:color w:val="1E293B"/>
          <w:sz w:val="28"/>
          <w:szCs w:val="28"/>
        </w:rPr>
      </w:pPr>
      <w:r>
        <w:t xml:space="preserve">8.2 5-Indicator Placement Readiness Scoring</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R = 0.25G + 0.25T + 0.20I + 0.20P + 0.10C, where G is normalized CGPA (10 * CGPA), T is technical assessment score, I is AI mock interview score, P is placement prep/resume score, and C is attendance discipline score.</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Risk Classification Thresholds: Low Risk (75-100), Moderate Risk (50-74), High Risk (0-49).</w:t>
      </w:r>
    </w:p>
    <w:p>
      <w:pPr>
        <w:pStyle w:val="Heading1"/>
        <w:pageBreakBefore/>
        <w:spacing w:after="200" w:before="400"/>
        <w:rPr>
          <w:rFonts w:ascii="Times New Roman" w:cs="Times New Roman" w:eastAsia="Times New Roman" w:hAnsi="Times New Roman"/>
          <w:b/>
          <w:bCs/>
          <w:color w:val="0F172A"/>
          <w:sz w:val="32"/>
          <w:szCs w:val="32"/>
        </w:rPr>
      </w:pPr>
      <w:r>
        <w:t xml:space="preserve">CHAPTER 10: TESTING AND EMPIRICAL VALIDATION</w:t>
      </w:r>
    </w:p>
    <w:p>
      <w:pPr>
        <w:pStyle w:val="Heading2"/>
        <w:spacing w:after="150" w:before="300"/>
        <w:rPr>
          <w:rFonts w:ascii="Times New Roman" w:cs="Times New Roman" w:eastAsia="Times New Roman" w:hAnsi="Times New Roman"/>
          <w:b/>
          <w:bCs/>
          <w:color w:val="1E293B"/>
          <w:sz w:val="28"/>
          <w:szCs w:val="28"/>
        </w:rPr>
      </w:pPr>
      <w:r>
        <w:t xml:space="preserve">10.1 Automated Test Execution Summary</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Testing was conducted using Vitest v4.1.11 across 13 test suites. A 100% pass rate was achieved across all 167 automated test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Test Suite</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Tests</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Scope / Invariants Verified</w:t>
            </w:r>
          </w:p>
        </w:tc>
        <w:tc>
          <w:tcPr>
            <w:tcW w:type="pct" w:w="1250"/>
            <w:shd w:fill="F1F5F9" w:val="clear"/>
          </w:tcPr>
          <w:p>
            <w:pPr>
              <w:spacing w:after="100" w:before="100"/>
              <w:jc w:val="center"/>
            </w:pPr>
            <w:r>
              <w:rPr>
                <w:rFonts w:ascii="Times New Roman" w:cs="Times New Roman" w:eastAsia="Times New Roman" w:hAnsi="Times New Roman"/>
                <w:b/>
                <w:bCs/>
                <w:color w:val="0F172A"/>
                <w:sz w:val="22"/>
                <w:szCs w:val="22"/>
              </w:rPr>
              <w:t xml:space="preserve">Status</w:t>
            </w:r>
          </w:p>
        </w:tc>
      </w:tr>
      <w:tr>
        <w:tc>
          <w:tcPr>
            <w:tcW w:type="pct" w:w="1250"/>
          </w:tcPr>
          <w:p>
            <w:pPr>
              <w:spacing w:after="80" w:before="80"/>
            </w:pPr>
            <w:r>
              <w:rPr>
                <w:rFonts w:ascii="Times New Roman" w:cs="Times New Roman" w:eastAsia="Times New Roman" w:hAnsi="Times New Roman"/>
                <w:color w:val="334155"/>
                <w:sz w:val="20"/>
                <w:szCs w:val="20"/>
              </w:rPr>
              <w:t xml:space="preserve">two-way-sync.test.ts</w:t>
            </w:r>
          </w:p>
        </w:tc>
        <w:tc>
          <w:tcPr>
            <w:tcW w:type="pct" w:w="1250"/>
          </w:tcPr>
          <w:p>
            <w:pPr>
              <w:spacing w:after="80" w:before="80"/>
            </w:pPr>
            <w:r>
              <w:rPr>
                <w:rFonts w:ascii="Times New Roman" w:cs="Times New Roman" w:eastAsia="Times New Roman" w:hAnsi="Times New Roman"/>
                <w:color w:val="334155"/>
                <w:sz w:val="20"/>
                <w:szCs w:val="20"/>
              </w:rPr>
              <w:t xml:space="preserve">11</w:t>
            </w:r>
          </w:p>
        </w:tc>
        <w:tc>
          <w:tcPr>
            <w:tcW w:type="pct" w:w="1250"/>
          </w:tcPr>
          <w:p>
            <w:pPr>
              <w:spacing w:after="80" w:before="80"/>
            </w:pPr>
            <w:r>
              <w:rPr>
                <w:rFonts w:ascii="Times New Roman" w:cs="Times New Roman" w:eastAsia="Times New Roman" w:hAnsi="Times New Roman"/>
                <w:color w:val="334155"/>
                <w:sz w:val="20"/>
                <w:szCs w:val="20"/>
              </w:rPr>
              <w:t xml:space="preserve">Attendance &amp; marks modifications synchronize CGPA, attendance %, and risk scores</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payments.test.ts</w:t>
            </w:r>
          </w:p>
        </w:tc>
        <w:tc>
          <w:tcPr>
            <w:tcW w:type="pct" w:w="1250"/>
          </w:tcPr>
          <w:p>
            <w:pPr>
              <w:spacing w:after="80" w:before="80"/>
            </w:pPr>
            <w:r>
              <w:rPr>
                <w:rFonts w:ascii="Times New Roman" w:cs="Times New Roman" w:eastAsia="Times New Roman" w:hAnsi="Times New Roman"/>
                <w:color w:val="334155"/>
                <w:sz w:val="20"/>
                <w:szCs w:val="20"/>
              </w:rPr>
              <w:t xml:space="preserve">19</w:t>
            </w:r>
          </w:p>
        </w:tc>
        <w:tc>
          <w:tcPr>
            <w:tcW w:type="pct" w:w="1250"/>
          </w:tcPr>
          <w:p>
            <w:pPr>
              <w:spacing w:after="80" w:before="80"/>
            </w:pPr>
            <w:r>
              <w:rPr>
                <w:rFonts w:ascii="Times New Roman" w:cs="Times New Roman" w:eastAsia="Times New Roman" w:hAnsi="Times New Roman"/>
                <w:color w:val="334155"/>
                <w:sz w:val="20"/>
                <w:szCs w:val="20"/>
              </w:rPr>
              <w:t xml:space="preserve">Course fees, Razorpay orders, and Save &amp; Audit mandatory reason logging</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attendance.test.ts</w:t>
            </w:r>
          </w:p>
        </w:tc>
        <w:tc>
          <w:tcPr>
            <w:tcW w:type="pct" w:w="1250"/>
          </w:tcPr>
          <w:p>
            <w:pPr>
              <w:spacing w:after="80" w:before="80"/>
            </w:pPr>
            <w:r>
              <w:rPr>
                <w:rFonts w:ascii="Times New Roman" w:cs="Times New Roman" w:eastAsia="Times New Roman" w:hAnsi="Times New Roman"/>
                <w:color w:val="334155"/>
                <w:sz w:val="20"/>
                <w:szCs w:val="20"/>
              </w:rPr>
              <w:t xml:space="preserve">21</w:t>
            </w:r>
          </w:p>
        </w:tc>
        <w:tc>
          <w:tcPr>
            <w:tcW w:type="pct" w:w="1250"/>
          </w:tcPr>
          <w:p>
            <w:pPr>
              <w:spacing w:after="80" w:before="80"/>
            </w:pPr>
            <w:r>
              <w:rPr>
                <w:rFonts w:ascii="Times New Roman" w:cs="Times New Roman" w:eastAsia="Times New Roman" w:hAnsi="Times New Roman"/>
                <w:color w:val="334155"/>
                <w:sz w:val="20"/>
                <w:szCs w:val="20"/>
              </w:rPr>
              <w:t xml:space="preserve">Session publish workflow, attendance % formula, excused exclusions</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academics.test.ts</w:t>
            </w:r>
          </w:p>
        </w:tc>
        <w:tc>
          <w:tcPr>
            <w:tcW w:type="pct" w:w="1250"/>
          </w:tcPr>
          <w:p>
            <w:pPr>
              <w:spacing w:after="80" w:before="80"/>
            </w:pPr>
            <w:r>
              <w:rPr>
                <w:rFonts w:ascii="Times New Roman" w:cs="Times New Roman" w:eastAsia="Times New Roman" w:hAnsi="Times New Roman"/>
                <w:color w:val="334155"/>
                <w:sz w:val="20"/>
                <w:szCs w:val="20"/>
              </w:rPr>
              <w:t xml:space="preserve">13</w:t>
            </w:r>
          </w:p>
        </w:tc>
        <w:tc>
          <w:tcPr>
            <w:tcW w:type="pct" w:w="1250"/>
          </w:tcPr>
          <w:p>
            <w:pPr>
              <w:spacing w:after="80" w:before="80"/>
            </w:pPr>
            <w:r>
              <w:rPr>
                <w:rFonts w:ascii="Times New Roman" w:cs="Times New Roman" w:eastAsia="Times New Roman" w:hAnsi="Times New Roman"/>
                <w:color w:val="334155"/>
                <w:sz w:val="20"/>
                <w:szCs w:val="20"/>
              </w:rPr>
              <w:t xml:space="preserve">Multi-department curriculum resolution (CSE, AIML, CSF), 50/50 marks validation</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scoring.test.ts</w:t>
            </w:r>
          </w:p>
        </w:tc>
        <w:tc>
          <w:tcPr>
            <w:tcW w:type="pct" w:w="1250"/>
          </w:tcPr>
          <w:p>
            <w:pPr>
              <w:spacing w:after="80" w:before="80"/>
            </w:pPr>
            <w:r>
              <w:rPr>
                <w:rFonts w:ascii="Times New Roman" w:cs="Times New Roman" w:eastAsia="Times New Roman" w:hAnsi="Times New Roman"/>
                <w:color w:val="334155"/>
                <w:sz w:val="20"/>
                <w:szCs w:val="20"/>
              </w:rPr>
              <w:t xml:space="preserve">26</w:t>
            </w:r>
          </w:p>
        </w:tc>
        <w:tc>
          <w:tcPr>
            <w:tcW w:type="pct" w:w="1250"/>
          </w:tcPr>
          <w:p>
            <w:pPr>
              <w:spacing w:after="80" w:before="80"/>
            </w:pPr>
            <w:r>
              <w:rPr>
                <w:rFonts w:ascii="Times New Roman" w:cs="Times New Roman" w:eastAsia="Times New Roman" w:hAnsi="Times New Roman"/>
                <w:color w:val="334155"/>
                <w:sz w:val="20"/>
                <w:szCs w:val="20"/>
              </w:rPr>
              <w:t xml:space="preserve">5-indicator Placement Readiness formula (R), boundary conditions, risk classifications</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auth.test.ts</w:t>
            </w:r>
          </w:p>
        </w:tc>
        <w:tc>
          <w:tcPr>
            <w:tcW w:type="pct" w:w="1250"/>
          </w:tcPr>
          <w:p>
            <w:pPr>
              <w:spacing w:after="80" w:before="80"/>
            </w:pPr>
            <w:r>
              <w:rPr>
                <w:rFonts w:ascii="Times New Roman" w:cs="Times New Roman" w:eastAsia="Times New Roman" w:hAnsi="Times New Roman"/>
                <w:color w:val="334155"/>
                <w:sz w:val="20"/>
                <w:szCs w:val="20"/>
              </w:rPr>
              <w:t xml:space="preserve">11</w:t>
            </w:r>
          </w:p>
        </w:tc>
        <w:tc>
          <w:tcPr>
            <w:tcW w:type="pct" w:w="1250"/>
          </w:tcPr>
          <w:p>
            <w:pPr>
              <w:spacing w:after="80" w:before="80"/>
            </w:pPr>
            <w:r>
              <w:rPr>
                <w:rFonts w:ascii="Times New Roman" w:cs="Times New Roman" w:eastAsia="Times New Roman" w:hAnsi="Times New Roman"/>
                <w:color w:val="334155"/>
                <w:sz w:val="20"/>
                <w:szCs w:val="20"/>
              </w:rPr>
              <w:t xml:space="preserve">RBAC permissions, student isolation, faculty departmental access, admin authorization</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csv.test.ts</w:t>
            </w:r>
          </w:p>
        </w:tc>
        <w:tc>
          <w:tcPr>
            <w:tcW w:type="pct" w:w="1250"/>
          </w:tcPr>
          <w:p>
            <w:pPr>
              <w:spacing w:after="80" w:before="80"/>
            </w:pPr>
            <w:r>
              <w:rPr>
                <w:rFonts w:ascii="Times New Roman" w:cs="Times New Roman" w:eastAsia="Times New Roman" w:hAnsi="Times New Roman"/>
                <w:color w:val="334155"/>
                <w:sz w:val="20"/>
                <w:szCs w:val="20"/>
              </w:rPr>
              <w:t xml:space="preserve">16</w:t>
            </w:r>
          </w:p>
        </w:tc>
        <w:tc>
          <w:tcPr>
            <w:tcW w:type="pct" w:w="1250"/>
          </w:tcPr>
          <w:p>
            <w:pPr>
              <w:spacing w:after="80" w:before="80"/>
            </w:pPr>
            <w:r>
              <w:rPr>
                <w:rFonts w:ascii="Times New Roman" w:cs="Times New Roman" w:eastAsia="Times New Roman" w:hAnsi="Times New Roman"/>
                <w:color w:val="334155"/>
                <w:sz w:val="20"/>
                <w:szCs w:val="20"/>
              </w:rPr>
              <w:t xml:space="preserve">Institutional CSV dataset ingestion, column mapping, header validation</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interview.test.ts</w:t>
            </w:r>
          </w:p>
        </w:tc>
        <w:tc>
          <w:tcPr>
            <w:tcW w:type="pct" w:w="1250"/>
          </w:tcPr>
          <w:p>
            <w:pPr>
              <w:spacing w:after="80" w:before="80"/>
            </w:pPr>
            <w:r>
              <w:rPr>
                <w:rFonts w:ascii="Times New Roman" w:cs="Times New Roman" w:eastAsia="Times New Roman" w:hAnsi="Times New Roman"/>
                <w:color w:val="334155"/>
                <w:sz w:val="20"/>
                <w:szCs w:val="20"/>
              </w:rPr>
              <w:t xml:space="preserve">12</w:t>
            </w:r>
          </w:p>
        </w:tc>
        <w:tc>
          <w:tcPr>
            <w:tcW w:type="pct" w:w="1250"/>
          </w:tcPr>
          <w:p>
            <w:pPr>
              <w:spacing w:after="80" w:before="80"/>
            </w:pPr>
            <w:r>
              <w:rPr>
                <w:rFonts w:ascii="Times New Roman" w:cs="Times New Roman" w:eastAsia="Times New Roman" w:hAnsi="Times New Roman"/>
                <w:color w:val="334155"/>
                <w:sz w:val="20"/>
                <w:szCs w:val="20"/>
              </w:rPr>
              <w:t xml:space="preserve">Dynamic follow-up generation, 10-part debrief report rubric, fallback scoring</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ai-insights.test.ts</w:t>
            </w:r>
          </w:p>
        </w:tc>
        <w:tc>
          <w:tcPr>
            <w:tcW w:type="pct" w:w="1250"/>
          </w:tcPr>
          <w:p>
            <w:pPr>
              <w:spacing w:after="80" w:before="80"/>
            </w:pPr>
            <w:r>
              <w:rPr>
                <w:rFonts w:ascii="Times New Roman" w:cs="Times New Roman" w:eastAsia="Times New Roman" w:hAnsi="Times New Roman"/>
                <w:color w:val="334155"/>
                <w:sz w:val="20"/>
                <w:szCs w:val="20"/>
              </w:rPr>
              <w:t xml:space="preserve">15</w:t>
            </w:r>
          </w:p>
        </w:tc>
        <w:tc>
          <w:tcPr>
            <w:tcW w:type="pct" w:w="1250"/>
          </w:tcPr>
          <w:p>
            <w:pPr>
              <w:spacing w:after="80" w:before="80"/>
            </w:pPr>
            <w:r>
              <w:rPr>
                <w:rFonts w:ascii="Times New Roman" w:cs="Times New Roman" w:eastAsia="Times New Roman" w:hAnsi="Times New Roman"/>
                <w:color w:val="334155"/>
                <w:sz w:val="20"/>
                <w:szCs w:val="20"/>
              </w:rPr>
              <w:t xml:space="preserve">AI provider key resolution, model configuration (gemini-3.8-flash), deterministic fallback</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support-groups.test.ts</w:t>
            </w:r>
          </w:p>
        </w:tc>
        <w:tc>
          <w:tcPr>
            <w:tcW w:type="pct" w:w="1250"/>
          </w:tcPr>
          <w:p>
            <w:pPr>
              <w:spacing w:after="80" w:before="80"/>
            </w:pPr>
            <w:r>
              <w:rPr>
                <w:rFonts w:ascii="Times New Roman" w:cs="Times New Roman" w:eastAsia="Times New Roman" w:hAnsi="Times New Roman"/>
                <w:color w:val="334155"/>
                <w:sz w:val="20"/>
                <w:szCs w:val="20"/>
              </w:rPr>
              <w:t xml:space="preserve">8</w:t>
            </w:r>
          </w:p>
        </w:tc>
        <w:tc>
          <w:tcPr>
            <w:tcW w:type="pct" w:w="1250"/>
          </w:tcPr>
          <w:p>
            <w:pPr>
              <w:spacing w:after="80" w:before="80"/>
            </w:pPr>
            <w:r>
              <w:rPr>
                <w:rFonts w:ascii="Times New Roman" w:cs="Times New Roman" w:eastAsia="Times New Roman" w:hAnsi="Times New Roman"/>
                <w:color w:val="334155"/>
                <w:sz w:val="20"/>
                <w:szCs w:val="20"/>
              </w:rPr>
              <w:t xml:space="preserve">Cohort support group creation, risk thresholds, student assignment</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interventions.test.ts</w:t>
            </w:r>
          </w:p>
        </w:tc>
        <w:tc>
          <w:tcPr>
            <w:tcW w:type="pct" w:w="1250"/>
          </w:tcPr>
          <w:p>
            <w:pPr>
              <w:spacing w:after="80" w:before="80"/>
            </w:pPr>
            <w:r>
              <w:rPr>
                <w:rFonts w:ascii="Times New Roman" w:cs="Times New Roman" w:eastAsia="Times New Roman" w:hAnsi="Times New Roman"/>
                <w:color w:val="334155"/>
                <w:sz w:val="20"/>
                <w:szCs w:val="20"/>
              </w:rPr>
              <w:t xml:space="preserve">9</w:t>
            </w:r>
          </w:p>
        </w:tc>
        <w:tc>
          <w:tcPr>
            <w:tcW w:type="pct" w:w="1250"/>
          </w:tcPr>
          <w:p>
            <w:pPr>
              <w:spacing w:after="80" w:before="80"/>
            </w:pPr>
            <w:r>
              <w:rPr>
                <w:rFonts w:ascii="Times New Roman" w:cs="Times New Roman" w:eastAsia="Times New Roman" w:hAnsi="Times New Roman"/>
                <w:color w:val="334155"/>
                <w:sz w:val="20"/>
                <w:szCs w:val="20"/>
              </w:rPr>
              <w:t xml:space="preserve">Academic and placement intervention lifecycles, status transitions</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security.test.ts</w:t>
            </w:r>
          </w:p>
        </w:tc>
        <w:tc>
          <w:tcPr>
            <w:tcW w:type="pct" w:w="1250"/>
          </w:tcPr>
          <w:p>
            <w:pPr>
              <w:spacing w:after="80" w:before="80"/>
            </w:pPr>
            <w:r>
              <w:rPr>
                <w:rFonts w:ascii="Times New Roman" w:cs="Times New Roman" w:eastAsia="Times New Roman" w:hAnsi="Times New Roman"/>
                <w:color w:val="334155"/>
                <w:sz w:val="20"/>
                <w:szCs w:val="20"/>
              </w:rPr>
              <w:t xml:space="preserve">5</w:t>
            </w:r>
          </w:p>
        </w:tc>
        <w:tc>
          <w:tcPr>
            <w:tcW w:type="pct" w:w="1250"/>
          </w:tcPr>
          <w:p>
            <w:pPr>
              <w:spacing w:after="80" w:before="80"/>
            </w:pPr>
            <w:r>
              <w:rPr>
                <w:rFonts w:ascii="Times New Roman" w:cs="Times New Roman" w:eastAsia="Times New Roman" w:hAnsi="Times New Roman"/>
                <w:color w:val="334155"/>
                <w:sz w:val="20"/>
                <w:szCs w:val="20"/>
              </w:rPr>
              <w:t xml:space="preserve">API key isolation, client bundle sanitization, RLS enforcement</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r>
        <w:tc>
          <w:tcPr>
            <w:tcW w:type="pct" w:w="1250"/>
          </w:tcPr>
          <w:p>
            <w:pPr>
              <w:spacing w:after="80" w:before="80"/>
            </w:pPr>
            <w:r>
              <w:rPr>
                <w:rFonts w:ascii="Times New Roman" w:cs="Times New Roman" w:eastAsia="Times New Roman" w:hAnsi="Times New Roman"/>
                <w:color w:val="334155"/>
                <w:sz w:val="20"/>
                <w:szCs w:val="20"/>
              </w:rPr>
              <w:t xml:space="preserve">app-routing.test.tsx</w:t>
            </w:r>
          </w:p>
        </w:tc>
        <w:tc>
          <w:tcPr>
            <w:tcW w:type="pct" w:w="1250"/>
          </w:tcPr>
          <w:p>
            <w:pPr>
              <w:spacing w:after="80" w:before="80"/>
            </w:pPr>
            <w:r>
              <w:rPr>
                <w:rFonts w:ascii="Times New Roman" w:cs="Times New Roman" w:eastAsia="Times New Roman" w:hAnsi="Times New Roman"/>
                <w:color w:val="334155"/>
                <w:sz w:val="20"/>
                <w:szCs w:val="20"/>
              </w:rPr>
              <w:t xml:space="preserve">1</w:t>
            </w:r>
          </w:p>
        </w:tc>
        <w:tc>
          <w:tcPr>
            <w:tcW w:type="pct" w:w="1250"/>
          </w:tcPr>
          <w:p>
            <w:pPr>
              <w:spacing w:after="80" w:before="80"/>
            </w:pPr>
            <w:r>
              <w:rPr>
                <w:rFonts w:ascii="Times New Roman" w:cs="Times New Roman" w:eastAsia="Times New Roman" w:hAnsi="Times New Roman"/>
                <w:color w:val="334155"/>
                <w:sz w:val="20"/>
                <w:szCs w:val="20"/>
              </w:rPr>
              <w:t xml:space="preserve">Client route navigation, authenticated layout guard, 404 handler</w:t>
            </w:r>
          </w:p>
        </w:tc>
        <w:tc>
          <w:tcPr>
            <w:tcW w:type="pct" w:w="1250"/>
          </w:tcPr>
          <w:p>
            <w:pPr>
              <w:spacing w:after="80" w:before="80"/>
            </w:pPr>
            <w:r>
              <w:rPr>
                <w:rFonts w:ascii="Times New Roman" w:cs="Times New Roman" w:eastAsia="Times New Roman" w:hAnsi="Times New Roman"/>
                <w:color w:val="334155"/>
                <w:sz w:val="20"/>
                <w:szCs w:val="20"/>
              </w:rPr>
              <w:t xml:space="preserve">PASSED</w:t>
            </w:r>
          </w:p>
        </w:tc>
      </w:tr>
    </w:tbl>
    <w:p>
      <w:pPr>
        <w:spacing w:after="140" w:line="360"/>
        <w:jc w:val="both"/>
      </w:pPr>
      <w:r>
        <w:rPr>
          <w:rFonts w:ascii="Times New Roman" w:cs="Times New Roman" w:eastAsia="Times New Roman" w:hAnsi="Times New Roman"/>
          <w:b/>
          <w:bCs/>
          <w:i w:val="false"/>
          <w:iCs w:val="false"/>
          <w:color w:val="1F2937"/>
          <w:sz w:val="24"/>
          <w:szCs w:val="24"/>
        </w:rPr>
        <w:t xml:space="preserve">Total Tests Passed: 167 of 167 (100% Pass Rate). Total Execution Duration: 8.30 seconds.</w:t>
      </w:r>
    </w:p>
    <w:p>
      <w:pPr>
        <w:pStyle w:val="Heading1"/>
        <w:pageBreakBefore/>
        <w:spacing w:after="200" w:before="400"/>
        <w:rPr>
          <w:rFonts w:ascii="Times New Roman" w:cs="Times New Roman" w:eastAsia="Times New Roman" w:hAnsi="Times New Roman"/>
          <w:b/>
          <w:bCs/>
          <w:color w:val="0F172A"/>
          <w:sz w:val="32"/>
          <w:szCs w:val="32"/>
        </w:rPr>
      </w:pPr>
      <w:r>
        <w:t xml:space="preserve">CHAPTER 15: CONCLUSION &amp; REFERENCES</w:t>
      </w:r>
    </w:p>
    <w:p>
      <w:pPr>
        <w:pStyle w:val="Heading2"/>
        <w:spacing w:after="150" w:before="300"/>
        <w:rPr>
          <w:rFonts w:ascii="Times New Roman" w:cs="Times New Roman" w:eastAsia="Times New Roman" w:hAnsi="Times New Roman"/>
          <w:b/>
          <w:bCs/>
          <w:color w:val="1E293B"/>
          <w:sz w:val="28"/>
          <w:szCs w:val="28"/>
        </w:rPr>
      </w:pPr>
      <w:r>
        <w:t xml:space="preserve">15.1 Conclusion</w:t>
      </w:r>
    </w:p>
    <w:p>
      <w:pPr>
        <w:spacing w:after="140" w:line="360"/>
        <w:jc w:val="both"/>
      </w:pPr>
      <w:r>
        <w:rPr>
          <w:rFonts w:ascii="Times New Roman" w:cs="Times New Roman" w:eastAsia="Times New Roman" w:hAnsi="Times New Roman"/>
          <w:b w:val="false"/>
          <w:bCs w:val="false"/>
          <w:i w:val="false"/>
          <w:iCs w:val="false"/>
          <w:color w:val="1F2937"/>
          <w:sz w:val="24"/>
          <w:szCs w:val="24"/>
        </w:rPr>
        <w:t xml:space="preserve">The KRYPTEDU — Smart Campus Analytics platform successfully demonstrates the practical viability of integrating academic management, real-time attendance registers, predictive placement readiness modeling, and conversational AI into a unified web platform. By establishing the database as the sole authority and enforcing bidirectional data synchronization, the system eliminates administrative discrepancies, prevents student failure through early intervention, and prepares candidates for competitive recruitment.</w:t>
      </w:r>
    </w:p>
    <w:p>
      <w:pPr>
        <w:pStyle w:val="Heading2"/>
        <w:spacing w:after="150" w:before="300"/>
        <w:rPr>
          <w:rFonts w:ascii="Times New Roman" w:cs="Times New Roman" w:eastAsia="Times New Roman" w:hAnsi="Times New Roman"/>
          <w:b/>
          <w:bCs/>
          <w:color w:val="1E293B"/>
          <w:sz w:val="28"/>
          <w:szCs w:val="28"/>
        </w:rPr>
      </w:pPr>
      <w:r>
        <w:t xml:space="preserve">References</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[1] </w:t>
      </w:r>
      <w:r>
        <w:rPr>
          <w:rFonts w:ascii="Times New Roman" w:cs="Times New Roman" w:eastAsia="Times New Roman" w:hAnsi="Times New Roman"/>
          <w:color w:val="1F2937"/>
          <w:sz w:val="24"/>
          <w:szCs w:val="24"/>
        </w:rPr>
        <w:t xml:space="preserve">C. Romero and S. Ventura, 'Educational data mining and learning analytics: An updated survey,' WIREs Data Mining and Knowledge Discovery, vol. 10, no. 3, p. e1355, 2020.</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[2] </w:t>
      </w:r>
      <w:r>
        <w:rPr>
          <w:rFonts w:ascii="Times New Roman" w:cs="Times New Roman" w:eastAsia="Times New Roman" w:hAnsi="Times New Roman"/>
          <w:color w:val="1F2937"/>
          <w:sz w:val="24"/>
          <w:szCs w:val="24"/>
        </w:rPr>
        <w:t xml:space="preserve">G. Siemens and P. Long, 'Penetrating the fog: Analytics in learning and education,' EDUCAUSE Review, vol. 46, no. 5, pp. 30–32, 2011.</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[3] </w:t>
      </w:r>
      <w:r>
        <w:rPr>
          <w:rFonts w:ascii="Times New Roman" w:cs="Times New Roman" w:eastAsia="Times New Roman" w:hAnsi="Times New Roman"/>
          <w:color w:val="1F2937"/>
          <w:sz w:val="24"/>
          <w:szCs w:val="24"/>
        </w:rPr>
        <w:t xml:space="preserve">S. B. Kotsiantis, 'Use of machine learning techniques for educational proposes: a decision support system for forecasting students' grades,' Artificial Intelligence Review, vol. 37, no. 4, pp. 331–344, 2012.</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[4] </w:t>
      </w:r>
      <w:r>
        <w:rPr>
          <w:rFonts w:ascii="Times New Roman" w:cs="Times New Roman" w:eastAsia="Times New Roman" w:hAnsi="Times New Roman"/>
          <w:color w:val="1F2937"/>
          <w:sz w:val="24"/>
          <w:szCs w:val="24"/>
        </w:rPr>
        <w:t xml:space="preserve">TanStack Team, 'TanStack Start: Full-Stack React Framework Documentation,' 2026. [Online]. Available: https://tanstack.com/start</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[5] </w:t>
      </w:r>
      <w:r>
        <w:rPr>
          <w:rFonts w:ascii="Times New Roman" w:cs="Times New Roman" w:eastAsia="Times New Roman" w:hAnsi="Times New Roman"/>
          <w:color w:val="1F2937"/>
          <w:sz w:val="24"/>
          <w:szCs w:val="24"/>
        </w:rPr>
        <w:t xml:space="preserve">Supabase Inc., 'Supabase: The Open Source Firebase Alternative Architecture Guide,' 2026. [Online]. Available: https://supabase.com/docs</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[6] </w:t>
      </w:r>
      <w:r>
        <w:rPr>
          <w:rFonts w:ascii="Times New Roman" w:cs="Times New Roman" w:eastAsia="Times New Roman" w:hAnsi="Times New Roman"/>
          <w:color w:val="1F2937"/>
          <w:sz w:val="24"/>
          <w:szCs w:val="24"/>
        </w:rPr>
        <w:t xml:space="preserve">Google Cloud &amp; DeepMind, 'Google Gen AI SDK for TypeScript Documentation,' 2026. [Online]. Available: https://ai.google.dev/gemini-api/docs</w:t>
      </w:r>
    </w:p>
    <w:p>
      <w:pPr>
        <w:pStyle w:val="ListParagraph"/>
        <w:numPr>
          <w:ilvl w:val="0"/>
          <w:numId w:val="1"/>
        </w:numPr>
        <w:spacing w:after="100" w:line="360"/>
      </w:pPr>
      <w:r>
        <w:rPr>
          <w:rFonts w:ascii="Times New Roman" w:cs="Times New Roman" w:eastAsia="Times New Roman" w:hAnsi="Times New Roman"/>
          <w:b/>
          <w:bCs/>
          <w:color w:val="0F172A"/>
          <w:sz w:val="24"/>
          <w:szCs w:val="24"/>
        </w:rPr>
        <w:t xml:space="preserve">[7] </w:t>
      </w:r>
      <w:r>
        <w:rPr>
          <w:rFonts w:ascii="Times New Roman" w:cs="Times New Roman" w:eastAsia="Times New Roman" w:hAnsi="Times New Roman"/>
          <w:color w:val="1F2937"/>
          <w:sz w:val="24"/>
          <w:szCs w:val="24"/>
        </w:rPr>
        <w:t xml:space="preserve">Razorpay Software Pvt. Ltd., 'Razorpay Standard Checkout &amp; Payment Verification Guide,' 2026. [Online]. Available: https://razorpay.com/docs/payments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Page </w:t>
    </w:r>
    <w:r>
      <w:rPr>
        <w:rFonts w:ascii="Times New Roman" w:cs="Times New Roman" w:eastAsia="Times New Roman" w:hAnsi="Times New Roman"/>
        <w:color w:val="64748B"/>
        <w:sz w:val="18"/>
        <w:szCs w:val="18"/>
      </w:rPr>
      <w:fldChar w:fldCharType="begin"/>
    </w:r>
    <w:r>
      <w:rPr>
        <w:rFonts w:ascii="Times New Roman" w:cs="Times New Roman" w:eastAsia="Times New Roman" w:hAnsi="Times New Roman"/>
        <w:color w:val="64748B"/>
        <w:sz w:val="18"/>
        <w:szCs w:val="18"/>
      </w:rPr>
      <w:instrText xml:space="preserve">PAGE</w:instrText>
    </w:r>
    <w:r>
      <w:rPr>
        <w:rFonts w:ascii="Times New Roman" w:cs="Times New Roman" w:eastAsia="Times New Roman" w:hAnsi="Times New Roman"/>
        <w:color w:val="64748B"/>
        <w:sz w:val="18"/>
        <w:szCs w:val="18"/>
      </w:rPr>
      <w:fldChar w:fldCharType="separate"/>
    </w:r>
    <w:r>
      <w:rPr>
        <w:rFonts w:ascii="Times New Roman" w:cs="Times New Roman" w:eastAsia="Times New Roman" w:hAnsi="Times New Roman"/>
        <w:color w:val="64748B"/>
        <w:sz w:val="18"/>
        <w:szCs w:val="18"/>
      </w:rPr>
      <w:fldChar w:fldCharType="end"/>
    </w:r>
    <w:r>
      <w:rPr>
        <w:rFonts w:ascii="Times New Roman" w:cs="Times New Roman" w:eastAsia="Times New Roman" w:hAnsi="Times New Roman"/>
        <w:color w:val="64748B"/>
        <w:sz w:val="18"/>
        <w:szCs w:val="18"/>
      </w:rPr>
      <w:t xml:space="preserve"> of </w:t>
    </w:r>
    <w:r>
      <w:rPr>
        <w:rFonts w:ascii="Times New Roman" w:cs="Times New Roman" w:eastAsia="Times New Roman" w:hAnsi="Times New Roman"/>
        <w:color w:val="64748B"/>
        <w:sz w:val="18"/>
        <w:szCs w:val="18"/>
      </w:rPr>
      <w:fldChar w:fldCharType="begin"/>
    </w:r>
    <w:r>
      <w:rPr>
        <w:rFonts w:ascii="Times New Roman" w:cs="Times New Roman" w:eastAsia="Times New Roman" w:hAnsi="Times New Roman"/>
        <w:color w:val="64748B"/>
        <w:sz w:val="18"/>
        <w:szCs w:val="18"/>
      </w:rPr>
      <w:instrText xml:space="preserve">NUMPAGES</w:instrText>
    </w:r>
    <w:r>
      <w:rPr>
        <w:rFonts w:ascii="Times New Roman" w:cs="Times New Roman" w:eastAsia="Times New Roman" w:hAnsi="Times New Roman"/>
        <w:color w:val="64748B"/>
        <w:sz w:val="18"/>
        <w:szCs w:val="18"/>
      </w:rPr>
      <w:fldChar w:fldCharType="separate"/>
    </w:r>
    <w:r>
      <w:rPr>
        <w:rFonts w:ascii="Times New Roman" w:cs="Times New Roman" w:eastAsia="Times New Roman" w:hAnsi="Times New Roman"/>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KRYPTEDU — Smart Campus Analytics | B.Tech CSE Final Year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pPr>
        <w:spacing w:after="14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KRYPTEDU — Smart Campus Analytics Complete Project Report</dc:title>
  <dc:creator>KRYPTEDU Architecture Team</dc:creator>
  <dc:description>Bachelor of Technology Final Year Project Report in Computer Science and Engineering</dc:description>
  <cp:lastModifiedBy>Un-named</cp:lastModifiedBy>
  <cp:revision>1</cp:revision>
  <dcterms:created xsi:type="dcterms:W3CDTF">2026-10-29T00:49:49.999Z</dcterms:created>
  <dcterms:modified xsi:type="dcterms:W3CDTF">2026-10-29T00:49:50.000Z</dcterms:modified>
</cp:coreProperties>
</file>

<file path=docProps/custom.xml><?xml version="1.0" encoding="utf-8"?>
<Properties xmlns="http://schemas.openxmlformats.org/officeDocument/2006/custom-properties" xmlns:vt="http://schemas.openxmlformats.org/officeDocument/2006/docPropsVTypes"/>
</file>