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Confidence Survey (CCS)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Reserve Bank of India (RBI) has been conducting the Consumer Confidence Survey (CCS) since 2010 with the objective to capture households' current perception (i.e., the current situation as compared with a year ago) and future expectations (i.e., expectations for a year ahead), with respect to five parameters - economic condition, employment scenario, general price levels, income and spending of the households.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coverage of the survey has been extended and currently, the survey is conducted in 13 cities covering 5,400 households.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survey was conducted on a quarterly basis (viz., Mar, Jun, Sep and Dec) till March 2014. Two additional rounds of the survey in May and November were started from May 2014 to align with the bi-monthly monetary policy and the results of these additional rounds are being published since November 2016, after ensuring consistency.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two-stage probability sampling design is used, wherein at the first stage in a city, the polling booths are selected by systematic random sampling after arranging all polling booths according to their constituencies to ensure wide geographical coverage. In the second stage, from each selected polling booth area, 15 respondents are selected following the right-hand rule, skipping 10 houses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