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76C31" w14:textId="77777777" w:rsidR="00BB035B" w:rsidRPr="00BB035B" w:rsidRDefault="00BB035B" w:rsidP="00BB035B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 w:eastAsia="en-GB"/>
          <w14:ligatures w14:val="none"/>
        </w:rPr>
      </w:pPr>
      <w:r w:rsidRPr="00BB035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US" w:eastAsia="en-GB"/>
          <w14:ligatures w14:val="none"/>
        </w:rPr>
        <w:t>Valuation modeling tool prompt</w:t>
      </w:r>
    </w:p>
    <w:p w14:paraId="2E5E62C7" w14:textId="77777777" w:rsidR="00BB035B" w:rsidRPr="00BB035B" w:rsidRDefault="00BB035B" w:rsidP="00BB035B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</w:p>
    <w:p w14:paraId="76003100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Create a comprehensive, professional single-page HTML business valuation tool with two tabs in the header: "Comparable Transactions" and "DCF Valuation." Dark theme, financial terminal aesthetic, clean typography.</w:t>
      </w:r>
    </w:p>
    <w:p w14:paraId="0064BC7F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A01267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## TAB 1: COMPARABLE TRANSACTIONS</w:t>
      </w:r>
    </w:p>
    <w:p w14:paraId="1EEED116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D80EC9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**Target Company Inputs (user fills in):**</w:t>
      </w:r>
    </w:p>
    <w:p w14:paraId="5DBC0E08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Company name (text)</w:t>
      </w:r>
    </w:p>
    <w:p w14:paraId="12734105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Industry/Sector (dropdown — populate with ~80 US industries from Damodaran's dataset)</w:t>
      </w:r>
    </w:p>
    <w:p w14:paraId="6A9216CF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Revenue TTM and Prior Year (number fields, in $000s)</w:t>
      </w:r>
    </w:p>
    <w:p w14:paraId="0181F3AC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EBITDA TTM and Prior Year</w:t>
      </w:r>
    </w:p>
    <w:p w14:paraId="716DB33F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EBIT TTM</w:t>
      </w:r>
    </w:p>
    <w:p w14:paraId="188266B6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Net Income TTM</w:t>
      </w:r>
    </w:p>
    <w:p w14:paraId="5DAB057E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Total Debt</w:t>
      </w:r>
    </w:p>
    <w:p w14:paraId="04FEA784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Cash &amp; Equivalents</w:t>
      </w:r>
    </w:p>
    <w:p w14:paraId="386D2648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Shares Outstanding</w:t>
      </w:r>
    </w:p>
    <w:p w14:paraId="4E625BE4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Minority Interest</w:t>
      </w:r>
    </w:p>
    <w:p w14:paraId="2E6C1B76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664B59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**Auto-populated Industry Data (on industry selection):**</w:t>
      </w:r>
    </w:p>
    <w:p w14:paraId="636541C3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When the user selects an industry, auto-fill from embedded Damodaran (NYU Stern, Jan 2026) data:</w:t>
      </w:r>
    </w:p>
    <w:p w14:paraId="3E98CB07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EV/EBITDA multiple (positive EBITDA firms only)</w:t>
      </w:r>
    </w:p>
    <w:p w14:paraId="06B1A8AF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EV/EBIT multiple</w:t>
      </w:r>
    </w:p>
    <w:p w14:paraId="68A0EC95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Number of firms in sample</w:t>
      </w:r>
    </w:p>
    <w:p w14:paraId="00A0F403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Levered Beta, Unlevered Beta</w:t>
      </w:r>
    </w:p>
    <w:p w14:paraId="39BDCF70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Market D/E ratio</w:t>
      </w:r>
    </w:p>
    <w:p w14:paraId="41CBC5F1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Effective tax rate</w:t>
      </w:r>
    </w:p>
    <w:p w14:paraId="41759414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Display these in a summary card with key multiples shown prominently.</w:t>
      </w:r>
    </w:p>
    <w:p w14:paraId="56BEA1D3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52FE55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**Valuation Adjustments (dropdowns):**</w:t>
      </w:r>
    </w:p>
    <w:p w14:paraId="0CF3E530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Size Premium/Discount: None, -30% micro-cap, -20% small-cap, -10%, +10%, +20% market leader</w:t>
      </w:r>
    </w:p>
    <w:p w14:paraId="03AC21E8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Control Premium: None (minority), +15% low, +25% typical, +35% strategic, +50% very high</w:t>
      </w:r>
    </w:p>
    <w:p w14:paraId="7D9D6EFC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Illiquidity Discount (DLOM): None (public), -10%, -20%, -30%, -40% early stage</w:t>
      </w:r>
    </w:p>
    <w:p w14:paraId="1BB7B21C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Custom EV/EBITDA multiple override (optional number input)</w:t>
      </w:r>
    </w:p>
    <w:p w14:paraId="713899AF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6CD3A6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**Output on Calculate:**</w:t>
      </w:r>
    </w:p>
    <w:p w14:paraId="21005190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Enterprise Value = EBITDA × multiple</w:t>
      </w:r>
    </w:p>
    <w:p w14:paraId="2445B504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Equity Value = EV − Debt + Cash − Minority Interest</w:t>
      </w:r>
    </w:p>
    <w:p w14:paraId="213E1AAB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Adjusted Equity Value = Equity Value × (1 + size adj + control premium + DLOM)</w:t>
      </w:r>
    </w:p>
    <w:p w14:paraId="6691DF25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Price Per Share = Adj Equity / Shares</w:t>
      </w:r>
    </w:p>
    <w:p w14:paraId="052A8428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Implied EV/Revenue</w:t>
      </w:r>
    </w:p>
    <w:p w14:paraId="4B1CB3B8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Sensitivity table: EV at 5 different multiples (±15% and ±30% around base)</w:t>
      </w:r>
    </w:p>
    <w:p w14:paraId="272774BC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B61070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---</w:t>
      </w:r>
    </w:p>
    <w:p w14:paraId="76A15EBE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BC98DC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## TAB 2: DCF VALUATION</w:t>
      </w:r>
    </w:p>
    <w:p w14:paraId="0940F0BD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603AB6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**Company Inputs (user fills in):**</w:t>
      </w:r>
    </w:p>
    <w:p w14:paraId="55B9067F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Company/Project name</w:t>
      </w:r>
    </w:p>
    <w:p w14:paraId="363B20B0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Industry dropdown (same list — auto-fills Beta and D/E for WACC)</w:t>
      </w:r>
    </w:p>
    <w:p w14:paraId="1561BEA8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Base Year Revenue ($000s)</w:t>
      </w:r>
    </w:p>
    <w:p w14:paraId="61DBE7C7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Base Year EBITDA ($000s)</w:t>
      </w:r>
    </w:p>
    <w:p w14:paraId="4C57B8B3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Current D&amp;A ($000s)</w:t>
      </w:r>
    </w:p>
    <w:p w14:paraId="5C558B16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Effective Tax Rate (default 21%)</w:t>
      </w:r>
    </w:p>
    <w:p w14:paraId="58C59F96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881A1B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**Growth &amp; Projection Inputs (user fills in):**</w:t>
      </w:r>
    </w:p>
    <w:p w14:paraId="705E44C3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Projection period: dropdown 5/7/10 years</w:t>
      </w:r>
    </w:p>
    <w:p w14:paraId="6B80ED90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Revenue growth rate Years 1-3 (%)</w:t>
      </w:r>
    </w:p>
    <w:p w14:paraId="4C26AFC3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Revenue growth rate Years 4+ (%)</w:t>
      </w:r>
    </w:p>
    <w:p w14:paraId="0331AED3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Target EBITDA margin (%) — computed from base if blank</w:t>
      </w:r>
    </w:p>
    <w:p w14:paraId="240C861B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Margin improvement per year (bps)</w:t>
      </w:r>
    </w:p>
    <w:p w14:paraId="0F818F28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CapEx as % of Revenue</w:t>
      </w:r>
    </w:p>
    <w:p w14:paraId="785DB7BC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Change in NWC as % of ΔRevenue</w:t>
      </w:r>
    </w:p>
    <w:p w14:paraId="3E5EAF11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D&amp;A as % of Revenue (optional, else flat)</w:t>
      </w:r>
    </w:p>
    <w:p w14:paraId="516EFE1C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Other non-cash adjustments ($/year)</w:t>
      </w:r>
    </w:p>
    <w:p w14:paraId="2A175755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7E2594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**WACC Section (mix of auto-populated and user input):**</w:t>
      </w:r>
    </w:p>
    <w:p w14:paraId="6E748677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576C0F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Cost of Equity (CAPM):</w:t>
      </w:r>
    </w:p>
    <w:p w14:paraId="3FD9336C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Risk-Free Rate (input, default 4.25% — US 10Y/20Y Treasury)</w:t>
      </w:r>
    </w:p>
    <w:p w14:paraId="0A968403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Equity Risk Premium (input, default 5.0% — per Kroll Jun 2024)</w:t>
      </w:r>
    </w:p>
    <w:p w14:paraId="4B532F65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Levered Beta (auto-filled from industry selection, editable)</w:t>
      </w:r>
    </w:p>
    <w:p w14:paraId="514E1A65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Size Premium dropdown: None/+0.5% mid-cap/+1.5% small-cap/+3.0% micro-cap/+5.0% nano</w:t>
      </w:r>
    </w:p>
    <w:p w14:paraId="3C577354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Company-Specific Risk Premium (input, default 2%)</w:t>
      </w:r>
    </w:p>
    <w:p w14:paraId="01F020CE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Display Ke = Rf + β×ERP + Size + CSRP with formula shown</w:t>
      </w:r>
    </w:p>
    <w:p w14:paraId="742736A8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68B13D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Cost of Debt &amp; Capital Structure:</w:t>
      </w:r>
    </w:p>
    <w:p w14:paraId="0E643247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Pre-tax Cost of Debt (input, default 6.5%)</w:t>
      </w:r>
    </w:p>
    <w:p w14:paraId="34E97B5A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Marginal Tax Rate (input, default 21%)</w:t>
      </w:r>
    </w:p>
    <w:p w14:paraId="7C2DEFF4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Target Debt/Total Capital (auto from industry D/E, editable)</w:t>
      </w:r>
    </w:p>
    <w:p w14:paraId="095B4FB1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Target Equity/Total Capital (auto-calculated)</w:t>
      </w:r>
    </w:p>
    <w:p w14:paraId="0F0CE9EF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Display WACC = We×Ke + Wd×Kd×(1-t) with formula shown</w:t>
      </w:r>
    </w:p>
    <w:p w14:paraId="7D7724E0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CEA846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**Terminal Value:**</w:t>
      </w:r>
    </w:p>
    <w:p w14:paraId="391A6BDB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Terminal Growth Rate (input, default 2.5%)</w:t>
      </w:r>
    </w:p>
    <w:p w14:paraId="45A89603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Method dropdown: Gordon Growth Model or Exit Multiple</w:t>
      </w:r>
    </w:p>
    <w:p w14:paraId="6F8FC8AE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Exit EV/EBITDA multiple (input, used only if exit method selected)</w:t>
      </w:r>
    </w:p>
    <w:p w14:paraId="7A12A202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DE2F06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**Bridge to Equity:**</w:t>
      </w:r>
    </w:p>
    <w:p w14:paraId="61BEBC3D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Total Debt, Cash, Minority Interest, Shares Outstanding</w:t>
      </w:r>
    </w:p>
    <w:p w14:paraId="6D485FCD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902E0B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**Output on Calculate:**</w:t>
      </w:r>
    </w:p>
    <w:p w14:paraId="12430523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Full projected FCF table: Revenue → EBITDA → D&amp;A → EBIT → NOPAT → CapEx → ΔNWC → FCF → PV(FCF) for each year, plus Terminal Value row</w:t>
      </w:r>
    </w:p>
    <w:p w14:paraId="3028B87A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Summary: PV of FCFs, PV of Terminal Value, Enterprise Value, Equity Value, Price Per Share</w:t>
      </w:r>
    </w:p>
    <w:p w14:paraId="2539F2F8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TV as % of EV, Implied Exit Multiple</w:t>
      </w:r>
    </w:p>
    <w:p w14:paraId="3B2AD4FB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Sensitivity matrix: Enterprise Value across 5 WACC rates (±0.5% and ±1.0%) vs 5 Terminal Growth Rates (±0.5% and ±1.0%)</w:t>
      </w:r>
    </w:p>
    <w:p w14:paraId="7539868F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EC12F0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---</w:t>
      </w:r>
    </w:p>
    <w:p w14:paraId="0D9F45C0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4391F2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## DATA TO EMBED</w:t>
      </w:r>
    </w:p>
    <w:p w14:paraId="6542B76B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838127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Embed Damodaran's January 2026 industry dataset directly in JavaScript (~80 industries), each with: name, number of firms, EV/EBITDA, EV/EBIT, levered beta, unlevered beta, market D/E ratio, effective tax rate. Source this from pages.stern.nyu.edu/~adamodar.</w:t>
      </w:r>
    </w:p>
    <w:p w14:paraId="0EFE839F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0C250E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## DESIGN</w:t>
      </w:r>
    </w:p>
    <w:p w14:paraId="4DF67010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35F7D3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Dark background (#0c0f14), card-based layout</w:t>
      </w:r>
    </w:p>
    <w:p w14:paraId="6B70FD3E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Serif display font for values, sans-serif for labels</w:t>
      </w:r>
    </w:p>
    <w:p w14:paraId="68B01814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Color coding: green for final valuations, gold for multiples/rates</w:t>
      </w:r>
    </w:p>
    <w:p w14:paraId="46989EE4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Highlight base case in sensitivity tables</w:t>
      </w:r>
    </w:p>
    <w:p w14:paraId="681472AF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Mobile responsive grid</w:t>
      </w:r>
    </w:p>
    <w:p w14:paraId="738085F4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Data source attribution banner at top of each tab</w:t>
      </w:r>
    </w:p>
    <w:p w14:paraId="249FCE70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035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- Disclaimer footer</w:t>
      </w:r>
    </w:p>
    <w:p w14:paraId="21BF6EA3" w14:textId="77777777" w:rsidR="00BB035B" w:rsidRPr="00BB035B" w:rsidRDefault="00BB035B" w:rsidP="00BB03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0435C9" w14:textId="77777777" w:rsidR="006B4105" w:rsidRPr="0045109F" w:rsidRDefault="006B4105">
      <w:pPr>
        <w:rPr>
          <w:lang w:val="en-US"/>
        </w:rPr>
      </w:pPr>
    </w:p>
    <w:sectPr w:rsidR="006B4105" w:rsidRPr="00451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09F"/>
    <w:rsid w:val="0014506A"/>
    <w:rsid w:val="0045109F"/>
    <w:rsid w:val="006B4105"/>
    <w:rsid w:val="00A51521"/>
    <w:rsid w:val="00BB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73966B"/>
  <w15:chartTrackingRefBased/>
  <w15:docId w15:val="{737D0787-D130-5C46-99EE-690AD424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0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0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0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0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0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0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0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09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03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/>
  <cp:revision>1</cp:revision>
  <dcterms:created xsi:type="dcterms:W3CDTF">2026-02-25T10:28:00Z</dcterms:created>
</cp:coreProperties>
</file>