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0C0C0"/>
          <w:sz w:val="72"/>
        </w:rPr>
        <w:t>CONFIDENTIAL</w:t>
      </w:r>
    </w:p>
    <w:p/>
    <w:p/>
    <w:p/>
    <w:p/>
    <w:p>
      <w:pPr>
        <w:jc w:val="center"/>
      </w:pPr>
      <w:r>
        <w:rPr>
          <w:rFonts w:ascii="Calibri" w:hAnsi="Calibri"/>
          <w:b/>
          <w:color w:val="003366"/>
          <w:sz w:val="64"/>
        </w:rPr>
        <w:t>Microsoft Corporation</w:t>
      </w:r>
    </w:p>
    <w:p>
      <w:pPr>
        <w:jc w:val="center"/>
      </w:pPr>
      <w:r>
        <w:rPr>
          <w:rFonts w:ascii="Calibri" w:hAnsi="Calibri"/>
          <w:color w:val="505050"/>
          <w:sz w:val="36"/>
        </w:rPr>
        <w:t>M&amp;A Due Diligence Report</w:t>
      </w:r>
    </w:p>
    <w:p>
      <w:pPr>
        <w:jc w:val="center"/>
      </w:pPr>
      <w:r>
        <w:rPr>
          <w:rFonts w:ascii="Calibri" w:hAnsi="Calibri"/>
          <w:color w:val="505050"/>
          <w:sz w:val="32"/>
        </w:rPr>
        <w:t>Target: Microsoft Corporation</w:t>
      </w:r>
    </w:p>
    <w:p/>
    <w:p>
      <w:pPr>
        <w:jc w:val="center"/>
      </w:pPr>
      <w:r>
        <w:rPr>
          <w:rFonts w:ascii="Calibri" w:hAnsi="Calibri"/>
          <w:color w:val="808080"/>
          <w:sz w:val="24"/>
        </w:rPr>
        <w:t>Prepared by DealForge AI | October 01,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40"/>
      </w:pPr>
      <w:r>
        <w:rPr>
          <w:sz w:val="20"/>
        </w:rPr>
        <w:t>Executive Summary</w:t>
      </w:r>
    </w:p>
    <w:p>
      <w:pPr>
        <w:pStyle w:val="ListBullet"/>
        <w:spacing w:after="40"/>
      </w:pPr>
      <w:r>
        <w:rPr>
          <w:sz w:val="20"/>
        </w:rPr>
        <w:t>Key Financial Metrics</w:t>
      </w:r>
    </w:p>
    <w:p>
      <w:pPr>
        <w:pStyle w:val="ListBullet"/>
        <w:spacing w:after="40"/>
      </w:pPr>
      <w:r>
        <w:rPr>
          <w:sz w:val="20"/>
        </w:rPr>
        <w:t>Agent Findings</w:t>
      </w:r>
    </w:p>
    <w:p>
      <w:pPr>
        <w:pStyle w:val="ListBullet"/>
        <w:spacing w:after="40"/>
      </w:pPr>
      <w:r>
        <w:rPr>
          <w:sz w:val="20"/>
        </w:rPr>
        <w:t>Diligence Gaps</w:t>
      </w:r>
    </w:p>
    <w:p>
      <w:pPr>
        <w:pStyle w:val="ListBullet"/>
        <w:spacing w:after="40"/>
      </w:pPr>
      <w:r>
        <w:rPr>
          <w:sz w:val="20"/>
        </w:rPr>
        <w:t>Sources and Methodology</w:t>
      </w:r>
    </w:p>
    <w:p>
      <w:pPr>
        <w:pStyle w:val="ListBullet"/>
        <w:spacing w:after="40"/>
      </w:pPr>
      <w:r>
        <w:rPr>
          <w:sz w:val="20"/>
        </w:rPr>
        <w:t>Next Steps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Document Plan &amp; Quality Notes</w:t>
      </w:r>
    </w:p>
    <w:p>
      <w:r>
        <w:t>Audience: Investment Committee | Layout: portrait, standard density</w:t>
      </w:r>
    </w:p>
    <w:p>
      <w:r>
        <w:t>Planned coverage: Executive Summary | Financial Metrics | Agent Findings | Diligence Gaps | Sources and Methodology | Next Steps</w:t>
      </w:r>
    </w:p>
    <w:p>
      <w:r>
        <w:t>Sections and visuals are limited to recorded analysis and available source data.</w:t>
      </w:r>
    </w:p>
    <w:p>
      <w:r>
        <w:t>Narrative synthesis route: nvidia.</w:t>
      </w:r>
    </w:p>
    <w:p>
      <w:r>
        <w:t>Omitted for insufficient recorded evidence: Market Analysis, Risk Assessment, Valuation</w:t>
      </w:r>
    </w:p>
    <w:p>
      <w:r>
        <w:t>AI-generated synthesis and layout plan; verify all material statements against cited source records.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Target Company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Microsoft Corporation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Industry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Deal Score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Pending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October 01, 2026</w:t>
            </w:r>
          </w:p>
        </w:tc>
      </w:tr>
    </w:tbl>
    <w:p/>
    <w:p>
      <w:pPr>
        <w:pStyle w:val="Heading2"/>
      </w:pPr>
      <w:r>
        <w:t>Situation</w:t>
      </w:r>
    </w:p>
    <w:p>
      <w:r>
        <w:t>Financial data points are recorded for FY2023, FY2024, FY2025, FY2026.</w:t>
      </w:r>
    </w:p>
    <w:p>
      <w:pPr>
        <w:pStyle w:val="Heading2"/>
      </w:pPr>
      <w:r>
        <w:t>Complication</w:t>
      </w:r>
    </w:p>
    <w:p>
      <w:r>
        <w:t>Open diligence items remain: SEC company-facts values are extracted from XBRL; inspect the linked filing for definitions, restatements, and context.; EBITDA is not established by the extracted GAAP statement fields and remains unknown.</w:t>
      </w:r>
    </w:p>
    <w:p>
      <w:pPr>
        <w:pStyle w:val="Heading2"/>
      </w:pPr>
      <w:r>
        <w:t>Question</w:t>
      </w:r>
    </w:p>
    <w:p>
      <w:r>
        <w:t>Does the financial profile support proceeding with transaction evaluation?</w:t>
      </w:r>
    </w:p>
    <w:p>
      <w:pPr>
        <w:pStyle w:val="Heading2"/>
      </w:pPr>
      <w:r>
        <w:t>AI Synthesis (not a recorded decision)</w:t>
      </w:r>
    </w:p>
    <w:p>
      <w:r>
        <w:t>No recommendation recorded; human review required.</w:t>
      </w:r>
    </w:p>
    <w:p>
      <w:pPr>
        <w:pStyle w:val="Heading2"/>
      </w:pPr>
      <w:r>
        <w:t>Decision-Relevant Takeaways</w:t>
      </w:r>
    </w:p>
    <w:p>
      <w:pPr>
        <w:pStyle w:val="ListBullet"/>
      </w:pPr>
      <w:r>
        <w:t>Revenue trend: Reported revenue increased from 211,915,000,000 in FY2023 to 331,839,000,000 in FY2026; the derived CAGR was 16.12% ([S1] [S4]). This is historical growth, not a forecast.</w:t>
      </w:r>
    </w:p>
    <w:p>
      <w:pPr>
        <w:pStyle w:val="ListBullet"/>
      </w:pPr>
      <w:r>
        <w:t>Growth trajectory: Revenue growth accelerated by 2.86 percentage points, from 14.93% in FY2025 to 17.79% in FY2026 ([S3] [S4]).</w:t>
      </w:r>
    </w:p>
    <w:p>
      <w:pPr>
        <w:pStyle w:val="ListBullet"/>
      </w:pPr>
      <w:r>
        <w:t>Operating margin: Reported operating margin changed by +5.01 percentage points, from 41.77% in FY2023 to 46.78% in FY2026 ([S1] [S4]). This is a historical comparison, not a causal explanation.</w:t>
      </w:r>
    </w:p>
    <w:p>
      <w:pPr>
        <w:pStyle w:val="Heading2"/>
      </w:pPr>
      <w:r>
        <w:t>Evidence Brief (recorded outputs)</w:t>
      </w:r>
    </w:p>
    <w:p>
      <w:r>
        <w:t>1 successful analyses; 1 agent outputs included citations.</w:t>
      </w:r>
    </w:p>
    <w:p>
      <w:pPr>
        <w:pStyle w:val="Heading3"/>
      </w:pPr>
      <w:r>
        <w:t>Open data gaps</w:t>
      </w:r>
    </w:p>
    <w:p>
      <w:pPr>
        <w:pStyle w:val="ListBullet"/>
      </w:pPr>
      <w:r>
        <w:t>SEC company-facts values are extracted from XBRL; inspect the linked filing for definitions, restatements, and context. [Source agent: financial_analyst]</w:t>
      </w:r>
    </w:p>
    <w:p>
      <w:pPr>
        <w:pStyle w:val="ListBullet"/>
      </w:pPr>
      <w:r>
        <w:t>EBITDA is not established by the extracted GAAP statement fields and remains unknown. [Source agent: financial_analyst]</w:t>
      </w:r>
    </w:p>
    <w:p>
      <w:pPr>
        <w:pStyle w:val="ListBullet"/>
      </w:pPr>
      <w:r>
        <w:t>This deterministic fallback does not generate a valuation or transaction recommendation. [Source agent: financial_analyst]</w:t>
      </w:r>
    </w:p>
    <w:p>
      <w:pPr>
        <w:pStyle w:val="Heading3"/>
      </w:pPr>
      <w:r>
        <w:t>Curated API data 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Metric</w:t>
            </w:r>
          </w:p>
        </w:tc>
        <w:tc>
          <w:tcPr>
            <w:tcW w:type="dxa" w:w="1987"/>
          </w:tcPr>
          <w:p>
            <w:r>
              <w:t>Value</w:t>
            </w:r>
          </w:p>
        </w:tc>
        <w:tc>
          <w:tcPr>
            <w:tcW w:type="dxa" w:w="1987"/>
          </w:tcPr>
          <w:p>
            <w:r>
              <w:t>Period</w:t>
            </w:r>
          </w:p>
        </w:tc>
        <w:tc>
          <w:tcPr>
            <w:tcW w:type="dxa" w:w="1987"/>
          </w:tcPr>
          <w:p>
            <w:r>
              <w:t>Basis</w:t>
            </w:r>
          </w:p>
        </w:tc>
        <w:tc>
          <w:tcPr>
            <w:tcW w:type="dxa" w:w="1987"/>
          </w:tcPr>
          <w:p>
            <w:r>
              <w:t>Source</w:t>
            </w:r>
          </w:p>
        </w:tc>
      </w:tr>
      <w:tr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$211.9bn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Gross Profit</w:t>
            </w:r>
          </w:p>
        </w:tc>
        <w:tc>
          <w:tcPr>
            <w:tcW w:type="dxa" w:w="1987"/>
          </w:tcPr>
          <w:p>
            <w:r>
              <w:t>$146.1bn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Gross Margin Percent</w:t>
            </w:r>
          </w:p>
        </w:tc>
        <w:tc>
          <w:tcPr>
            <w:tcW w:type="dxa" w:w="1987"/>
          </w:tcPr>
          <w:p>
            <w:r>
              <w:t>68.92%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Operating Income</w:t>
            </w:r>
          </w:p>
        </w:tc>
        <w:tc>
          <w:tcPr>
            <w:tcW w:type="dxa" w:w="1987"/>
          </w:tcPr>
          <w:p>
            <w:r>
              <w:t>$88.5bn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Operating Margin Percent</w:t>
            </w:r>
          </w:p>
        </w:tc>
        <w:tc>
          <w:tcPr>
            <w:tcW w:type="dxa" w:w="1987"/>
          </w:tcPr>
          <w:p>
            <w:r>
              <w:t>41.77%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Net Income</w:t>
            </w:r>
          </w:p>
        </w:tc>
        <w:tc>
          <w:tcPr>
            <w:tcW w:type="dxa" w:w="1987"/>
          </w:tcPr>
          <w:p>
            <w:r>
              <w:t>$72.4bn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$245.1bn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Revenue Yoy Percent</w:t>
            </w:r>
          </w:p>
        </w:tc>
        <w:tc>
          <w:tcPr>
            <w:tcW w:type="dxa" w:w="1987"/>
          </w:tcPr>
          <w:p>
            <w:r>
              <w:t>15.67%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Gross Profit</w:t>
            </w:r>
          </w:p>
        </w:tc>
        <w:tc>
          <w:tcPr>
            <w:tcW w:type="dxa" w:w="1987"/>
          </w:tcPr>
          <w:p>
            <w:r>
              <w:t>$171.0bn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Gross Margin Percent</w:t>
            </w:r>
          </w:p>
        </w:tc>
        <w:tc>
          <w:tcPr>
            <w:tcW w:type="dxa" w:w="1987"/>
          </w:tcPr>
          <w:p>
            <w:r>
              <w:t>69.76%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Operating Income</w:t>
            </w:r>
          </w:p>
        </w:tc>
        <w:tc>
          <w:tcPr>
            <w:tcW w:type="dxa" w:w="1987"/>
          </w:tcPr>
          <w:p>
            <w:r>
              <w:t>$109.4bn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Operating Margin Percent</w:t>
            </w:r>
          </w:p>
        </w:tc>
        <w:tc>
          <w:tcPr>
            <w:tcW w:type="dxa" w:w="1987"/>
          </w:tcPr>
          <w:p>
            <w:r>
              <w:t>44.64%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Net Income</w:t>
            </w:r>
          </w:p>
        </w:tc>
        <w:tc>
          <w:tcPr>
            <w:tcW w:type="dxa" w:w="1987"/>
          </w:tcPr>
          <w:p>
            <w:r>
              <w:t>$88.1bn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$281.7bn</w:t>
            </w:r>
          </w:p>
        </w:tc>
        <w:tc>
          <w:tcPr>
            <w:tcW w:type="dxa" w:w="1987"/>
          </w:tcPr>
          <w:p>
            <w:r>
              <w:t>FY2025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Revenue Yoy Percent</w:t>
            </w:r>
          </w:p>
        </w:tc>
        <w:tc>
          <w:tcPr>
            <w:tcW w:type="dxa" w:w="1987"/>
          </w:tcPr>
          <w:p>
            <w:r>
              <w:t>14.93%</w:t>
            </w:r>
          </w:p>
        </w:tc>
        <w:tc>
          <w:tcPr>
            <w:tcW w:type="dxa" w:w="1987"/>
          </w:tcPr>
          <w:p>
            <w:r>
              <w:t>FY2025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Gross Profit</w:t>
            </w:r>
          </w:p>
        </w:tc>
        <w:tc>
          <w:tcPr>
            <w:tcW w:type="dxa" w:w="1987"/>
          </w:tcPr>
          <w:p>
            <w:r>
              <w:t>$193.9bn</w:t>
            </w:r>
          </w:p>
        </w:tc>
        <w:tc>
          <w:tcPr>
            <w:tcW w:type="dxa" w:w="1987"/>
          </w:tcPr>
          <w:p>
            <w:r>
              <w:t>FY2025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Gross Margin Percent</w:t>
            </w:r>
          </w:p>
        </w:tc>
        <w:tc>
          <w:tcPr>
            <w:tcW w:type="dxa" w:w="1987"/>
          </w:tcPr>
          <w:p>
            <w:r>
              <w:t>68.82%</w:t>
            </w:r>
          </w:p>
        </w:tc>
        <w:tc>
          <w:tcPr>
            <w:tcW w:type="dxa" w:w="1987"/>
          </w:tcPr>
          <w:p>
            <w:r>
              <w:t>FY2025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Operating Income</w:t>
            </w:r>
          </w:p>
        </w:tc>
        <w:tc>
          <w:tcPr>
            <w:tcW w:type="dxa" w:w="1987"/>
          </w:tcPr>
          <w:p>
            <w:r>
              <w:t>$128.5bn</w:t>
            </w:r>
          </w:p>
        </w:tc>
        <w:tc>
          <w:tcPr>
            <w:tcW w:type="dxa" w:w="1987"/>
          </w:tcPr>
          <w:p>
            <w:r>
              <w:t>FY2025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Operating Margin Percent</w:t>
            </w:r>
          </w:p>
        </w:tc>
        <w:tc>
          <w:tcPr>
            <w:tcW w:type="dxa" w:w="1987"/>
          </w:tcPr>
          <w:p>
            <w:r>
              <w:t>45.62%</w:t>
            </w:r>
          </w:p>
        </w:tc>
        <w:tc>
          <w:tcPr>
            <w:tcW w:type="dxa" w:w="1987"/>
          </w:tcPr>
          <w:p>
            <w:r>
              <w:t>FY2025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Net Income</w:t>
            </w:r>
          </w:p>
        </w:tc>
        <w:tc>
          <w:tcPr>
            <w:tcW w:type="dxa" w:w="1987"/>
          </w:tcPr>
          <w:p>
            <w:r>
              <w:t>$101.8bn</w:t>
            </w:r>
          </w:p>
        </w:tc>
        <w:tc>
          <w:tcPr>
            <w:tcW w:type="dxa" w:w="1987"/>
          </w:tcPr>
          <w:p>
            <w:r>
              <w:t>FY2025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$331.8bn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Revenue Yoy Percent</w:t>
            </w:r>
          </w:p>
        </w:tc>
        <w:tc>
          <w:tcPr>
            <w:tcW w:type="dxa" w:w="1987"/>
          </w:tcPr>
          <w:p>
            <w:r>
              <w:t>17.79%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Gross Profit</w:t>
            </w:r>
          </w:p>
        </w:tc>
        <w:tc>
          <w:tcPr>
            <w:tcW w:type="dxa" w:w="1987"/>
          </w:tcPr>
          <w:p>
            <w:r>
              <w:t>$225.5bn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Gross Margin Percent</w:t>
            </w:r>
          </w:p>
        </w:tc>
        <w:tc>
          <w:tcPr>
            <w:tcW w:type="dxa" w:w="1987"/>
          </w:tcPr>
          <w:p>
            <w:r>
              <w:t>67.94%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Operating Income</w:t>
            </w:r>
          </w:p>
        </w:tc>
        <w:tc>
          <w:tcPr>
            <w:tcW w:type="dxa" w:w="1987"/>
          </w:tcPr>
          <w:p>
            <w:r>
              <w:t>$155.2bn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Operating Margin Percent</w:t>
            </w:r>
          </w:p>
        </w:tc>
        <w:tc>
          <w:tcPr>
            <w:tcW w:type="dxa" w:w="1987"/>
          </w:tcPr>
          <w:p>
            <w:r>
              <w:t>46.78%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Net Income</w:t>
            </w:r>
          </w:p>
        </w:tc>
        <w:tc>
          <w:tcPr>
            <w:tcW w:type="dxa" w:w="1987"/>
          </w:tcPr>
          <w:p>
            <w:r>
              <w:t>$133.7bn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Operating Cash Flow</w:t>
            </w:r>
          </w:p>
        </w:tc>
        <w:tc>
          <w:tcPr>
            <w:tcW w:type="dxa" w:w="1987"/>
          </w:tcPr>
          <w:p>
            <w:r>
              <w:t>$182.9bn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reported_or_derived_from_reported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Capital Expenditures</w:t>
            </w:r>
          </w:p>
        </w:tc>
        <w:tc>
          <w:tcPr>
            <w:tcW w:type="dxa" w:w="1987"/>
          </w:tcPr>
          <w:p>
            <w:r>
              <w:t>$115.9bn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reported_or_derived_from_reported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  <w:tr>
        <w:tc>
          <w:tcPr>
            <w:tcW w:type="dxa" w:w="1987"/>
          </w:tcPr>
          <w:p>
            <w:r>
              <w:t>Free Cash Flow</w:t>
            </w:r>
          </w:p>
        </w:tc>
        <w:tc>
          <w:tcPr>
            <w:tcW w:type="dxa" w:w="1987"/>
          </w:tcPr>
          <w:p>
            <w:r>
              <w:t>$67.0bn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reported_or_derived_from_reported</w:t>
            </w:r>
          </w:p>
        </w:tc>
        <w:tc>
          <w:tcPr>
            <w:tcW w:type="dxa" w:w="1987"/>
          </w:tcPr>
          <w:p>
            <w:r>
              <w:t>S4</w:t>
            </w:r>
          </w:p>
        </w:tc>
      </w:tr>
    </w:tbl>
    <w:p>
      <w:r>
        <w:t>Compiled from recorded agent outputs. Unreported values remain unknown; findings are not independently verified.</w:t>
      </w:r>
    </w:p>
    <w:p>
      <w:r>
        <w:br w:type="page"/>
      </w:r>
    </w:p>
    <w:p>
      <w:pPr>
        <w:pStyle w:val="Heading1"/>
      </w:pPr>
      <w:r>
        <w:t>2. Key Financial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96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revenue_analysis / annual_revenue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$331.8bn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revenue_analysis / growth_rate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17.79%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revenue_analysis / growth_basis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Derived from consecutive annual revenue values retrieved from sec_edgar_companyfacts.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gross_profit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$225.5bn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gross_margin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67.94%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operating_margin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46.78%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cash_flow / operating_cash_flow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$182.9bn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cash_flow / free_cash_flow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$67.0bn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cash_flow / free_cash_flow_fiscal_year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FY2026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cash_flow / operating_cash_flow_source_url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https://www.sec.gov/Archives/edgar/data/789019/000119312526323660/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cash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$20.9bn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cash_fiscal_year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FY2026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cash_source_url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https://www.sec.gov/Archives/edgar/data/789019/000119312526323660/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long_term_debt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$40.3bn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debt_fiscal_year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FY2026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debt_source_url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https://www.sec.gov/Archives/edgar/data/789019/000119312526323660/</w:t>
            </w:r>
          </w:p>
        </w:tc>
      </w:tr>
    </w:tbl>
    <w:p/>
    <w:p>
      <w:pPr>
        <w:pStyle w:val="Heading2"/>
      </w:pPr>
      <w:r>
        <w:t>AI-Generated Financial Narrative (verify against sources)</w:t>
      </w:r>
    </w:p>
    <w:p>
      <w:r>
        <w:t>Reported revenue increased from 211,915,000,000 in FY2023 to 331,839,000,000 in FY2026; the derived CAGR was 16.12% ([S1] [S4]). This is historical growth, not a forecast. Revenue growth accelerated by 2.86 percentage points, from 14.93% in FY2025 to 17.79% in FY2026 ([S3] [S4]). Reported operating margin changed by +5.01 percentage points, from 41.77% in FY2023 to 46.78% in FY2026 ([S1] [S4]). This is a historical comparison, not a causal explanation. These historical comparisons do not establish future performance.</w:t>
      </w:r>
    </w:p>
    <w:p>
      <w:pPr>
        <w:pStyle w:val="Heading2"/>
      </w:pPr>
      <w:r>
        <w:t>Forecast status</w:t>
      </w:r>
    </w:p>
    <w:p>
      <w:r>
        <w:t>No source-backed forecast was supplied for this report. No projection has been estimated. A forecast requires approved assumptions and supporting historical financial data.</w:t>
      </w:r>
    </w:p>
    <w:p>
      <w:r>
        <w:br w:type="page"/>
      </w:r>
    </w:p>
    <w:p>
      <w:pPr>
        <w:pStyle w:val="Heading1"/>
      </w:pPr>
      <w:r>
        <w:t>3. Agent Findings</w:t>
      </w:r>
    </w:p>
    <w:p>
      <w:pPr>
        <w:pStyle w:val="Heading2"/>
      </w:pPr>
      <w:r>
        <w:t>3.1  Financial Analyst</w:t>
      </w:r>
    </w:p>
    <w:p>
      <w:r>
        <w:rPr>
          <w:rFonts w:ascii="Calibri" w:hAnsi="Calibri"/>
          <w:i/>
          <w:color w:val="606060"/>
          <w:sz w:val="20"/>
        </w:rPr>
        <w:t>Confidence: Not calibrated  |  Provider: deterministic</w:t>
      </w:r>
    </w:p>
    <w:p>
      <w:r>
        <w:t>Completed: Focused Financial Assessment</w:t>
      </w:r>
    </w:p>
    <w:p>
      <w:r>
        <w:br w:type="page"/>
      </w:r>
    </w:p>
    <w:p>
      <w:pPr>
        <w:pStyle w:val="Heading1"/>
      </w:pPr>
      <w:r>
        <w:t>4. Risk Matrix</w:t>
      </w:r>
    </w:p>
    <w:p>
      <w:r>
        <w:t>No structured risk data available. Please run risk assessment for detailed audit.</w:t>
      </w:r>
    </w:p>
    <w:p>
      <w:r>
        <w:br w:type="page"/>
      </w:r>
    </w:p>
    <w:p>
      <w:pPr>
        <w:pStyle w:val="Heading1"/>
      </w:pPr>
      <w:r>
        <w:t>5. Visual Analytics Annex</w:t>
      </w:r>
    </w:p>
    <w:p>
      <w:r>
        <w:br w:type="page"/>
      </w:r>
    </w:p>
    <w:p>
      <w:pPr>
        <w:pStyle w:val="Heading1"/>
      </w:pPr>
      <w:r>
        <w:t>5. References &amp; Provenance</w:t>
      </w:r>
    </w:p>
    <w:p>
      <w:pPr>
        <w:pStyle w:val="Heading2"/>
      </w:pPr>
      <w:r>
        <w:t>Source register</w:t>
      </w:r>
    </w:p>
    <w:p>
      <w:pPr>
        <w:pStyle w:val="ListBullet"/>
      </w:pPr>
      <w:r>
        <w:t>[S1] MICROSOFT CORPORATION 10-K | Period: 2023 | Filed: 2023-07-27 | https://www.sec.gov/Archives/edgar/data/789019/000095017023035122/</w:t>
      </w:r>
    </w:p>
    <w:p>
      <w:pPr>
        <w:pStyle w:val="ListBullet"/>
      </w:pPr>
      <w:r>
        <w:t>[S2] MICROSOFT CORPORATION 10-K | Period: 2024 | Filed: 2024-07-30 | https://www.sec.gov/Archives/edgar/data/789019/000095017024087843/</w:t>
      </w:r>
    </w:p>
    <w:p>
      <w:pPr>
        <w:pStyle w:val="ListBullet"/>
      </w:pPr>
      <w:r>
        <w:t>[S3] MICROSOFT CORPORATION 10-K | Period: 2025 | Filed: 2025-07-30 | https://www.sec.gov/Archives/edgar/data/789019/000095017025100235/</w:t>
      </w:r>
    </w:p>
    <w:p>
      <w:pPr>
        <w:pStyle w:val="ListBullet"/>
      </w:pPr>
      <w:r>
        <w:t>[S4] MICROSOFT CORPORATION 10-K | Period: 2026 | Filed: 2026-07-29 | https://www.sec.gov/Archives/edgar/data/789019/000119312526323660/</w:t>
      </w:r>
    </w:p>
    <w:p>
      <w:r>
        <w:t>No provenance records or references were captured for this report.</w:t>
      </w:r>
    </w:p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This report was generated by DealForge AI Multi-Agent System. All data should be independently verified before making investment decisions.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