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C0C0C0"/>
          <w:sz w:val="72"/>
        </w:rPr>
        <w:t>CONFIDENTIAL</w:t>
      </w:r>
    </w:p>
    <w:p/>
    <w:p/>
    <w:p/>
    <w:p/>
    <w:p>
      <w:pPr>
        <w:jc w:val="center"/>
      </w:pPr>
      <w:r>
        <w:rPr>
          <w:rFonts w:ascii="Calibri" w:hAnsi="Calibri"/>
          <w:b/>
          <w:color w:val="003366"/>
          <w:sz w:val="64"/>
        </w:rPr>
        <w:t>Microsoft</w:t>
      </w:r>
    </w:p>
    <w:p>
      <w:pPr>
        <w:jc w:val="center"/>
      </w:pPr>
      <w:r>
        <w:rPr>
          <w:rFonts w:ascii="Calibri" w:hAnsi="Calibri"/>
          <w:color w:val="505050"/>
          <w:sz w:val="36"/>
        </w:rPr>
        <w:t>Deal Analysis &amp; Diligence Brief</w:t>
      </w:r>
    </w:p>
    <w:p>
      <w:pPr>
        <w:jc w:val="center"/>
      </w:pPr>
      <w:r>
        <w:rPr>
          <w:rFonts w:ascii="Calibri" w:hAnsi="Calibri"/>
          <w:color w:val="505050"/>
          <w:sz w:val="32"/>
        </w:rPr>
        <w:t>Target: Microsoft</w:t>
      </w:r>
    </w:p>
    <w:p/>
    <w:p>
      <w:pPr>
        <w:jc w:val="center"/>
      </w:pPr>
      <w:r>
        <w:rPr>
          <w:rFonts w:ascii="Calibri" w:hAnsi="Calibri"/>
          <w:color w:val="808080"/>
          <w:sz w:val="24"/>
        </w:rPr>
        <w:t>Prepared by DealForge AI | October 02, 2026</w:t>
      </w:r>
    </w:p>
    <w:p>
      <w:r>
        <w:br w:type="page"/>
      </w:r>
    </w:p>
    <w:p>
      <w:pPr>
        <w:pStyle w:val="Heading1"/>
      </w:pPr>
      <w:r>
        <w:t>Table of Contents</w:t>
      </w:r>
    </w:p>
    <w:p>
      <w:pPr>
        <w:pStyle w:val="ListBullet"/>
        <w:spacing w:after="40"/>
      </w:pPr>
      <w:r>
        <w:rPr>
          <w:sz w:val="20"/>
        </w:rPr>
        <w:t>Executive Summary</w:t>
      </w:r>
    </w:p>
    <w:p>
      <w:pPr>
        <w:pStyle w:val="ListBullet"/>
        <w:spacing w:after="40"/>
      </w:pPr>
      <w:r>
        <w:rPr>
          <w:sz w:val="20"/>
        </w:rPr>
        <w:t>Key Financial Metrics</w:t>
      </w:r>
    </w:p>
    <w:p>
      <w:pPr>
        <w:pStyle w:val="ListBullet"/>
        <w:spacing w:after="40"/>
      </w:pPr>
      <w:r>
        <w:rPr>
          <w:sz w:val="20"/>
        </w:rPr>
        <w:t>Agent Findings</w:t>
      </w:r>
    </w:p>
    <w:p>
      <w:pPr>
        <w:pStyle w:val="ListBullet"/>
        <w:spacing w:after="40"/>
      </w:pPr>
      <w:r>
        <w:rPr>
          <w:sz w:val="20"/>
        </w:rPr>
        <w:t>Diligence Gaps</w:t>
      </w:r>
    </w:p>
    <w:p>
      <w:pPr>
        <w:pStyle w:val="ListBullet"/>
        <w:spacing w:after="40"/>
      </w:pPr>
      <w:r>
        <w:rPr>
          <w:sz w:val="20"/>
        </w:rPr>
        <w:t>Sources and Methodology</w:t>
      </w:r>
    </w:p>
    <w:p>
      <w:r>
        <w:br w:type="page"/>
      </w:r>
    </w:p>
    <w:p>
      <w:pPr>
        <w:pStyle w:val="Heading1"/>
      </w:pPr>
      <w:r>
        <w:t>Evidence Coverage &amp; Review Status</w:t>
      </w:r>
    </w:p>
    <w:p>
      <w:r>
        <w:t>Status: Human review required</w:t>
      </w:r>
    </w:p>
    <w:p>
      <w:r>
        <w:t>Recorded successful analyses: 1; source records: 0; curated financial data points: 2.</w:t>
      </w:r>
    </w:p>
    <w:p>
      <w:pPr>
        <w:pStyle w:val="ListBullet"/>
      </w:pPr>
      <w:r>
        <w:t>One or more financial data points have no linked source citation.</w:t>
      </w:r>
    </w:p>
    <w:p>
      <w:r>
        <w:t>AI-generated synthesis and layout plan; verify all material statements against cited source records.</w:t>
      </w:r>
    </w:p>
    <w:p>
      <w:r>
        <w:br w:type="page"/>
      </w:r>
    </w:p>
    <w:p>
      <w:pPr>
        <w:pStyle w:val="Heading1"/>
      </w:pPr>
      <w:r>
        <w:t>1. Executive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rFonts w:ascii="Calibri" w:hAnsi="Calibri"/>
                <w:b/>
                <w:sz w:val="22"/>
              </w:rPr>
              <w:t>Target Company</w:t>
            </w:r>
          </w:p>
        </w:tc>
        <w:tc>
          <w:tcPr>
            <w:tcW w:type="dxa" w:w="4968"/>
          </w:tcPr>
          <w:p>
            <w:r>
              <w:rPr>
                <w:rFonts w:ascii="Calibri" w:hAnsi="Calibri"/>
                <w:sz w:val="22"/>
              </w:rPr>
              <w:t>Microsoft</w:t>
            </w:r>
          </w:p>
        </w:tc>
      </w:tr>
      <w:tr>
        <w:tc>
          <w:tcPr>
            <w:tcW w:type="dxa" w:w="4968"/>
          </w:tcPr>
          <w:p>
            <w:r>
              <w:rPr>
                <w:rFonts w:ascii="Calibri" w:hAnsi="Calibri"/>
                <w:b/>
                <w:sz w:val="22"/>
              </w:rPr>
              <w:t>Industry</w:t>
            </w:r>
          </w:p>
        </w:tc>
        <w:tc>
          <w:tcPr>
            <w:tcW w:type="dxa" w:w="4968"/>
          </w:tcPr>
          <w:p>
            <w:r>
              <w:rPr>
                <w:rFonts w:ascii="Calibri" w:hAnsi="Calibri"/>
                <w:sz w:val="22"/>
              </w:rPr>
              <w:t>Technology</w:t>
            </w:r>
          </w:p>
        </w:tc>
      </w:tr>
      <w:tr>
        <w:tc>
          <w:tcPr>
            <w:tcW w:type="dxa" w:w="4968"/>
          </w:tcPr>
          <w:p>
            <w:r>
              <w:rPr>
                <w:rFonts w:ascii="Calibri" w:hAnsi="Calibri"/>
                <w:b/>
                <w:sz w:val="22"/>
              </w:rPr>
              <w:t>Deal Score</w:t>
            </w:r>
          </w:p>
        </w:tc>
        <w:tc>
          <w:tcPr>
            <w:tcW w:type="dxa" w:w="4968"/>
          </w:tcPr>
          <w:p>
            <w:r>
              <w:rPr>
                <w:rFonts w:ascii="Calibri" w:hAnsi="Calibri"/>
                <w:sz w:val="22"/>
              </w:rPr>
              <w:t>Pending</w:t>
            </w:r>
          </w:p>
        </w:tc>
      </w:tr>
      <w:tr>
        <w:tc>
          <w:tcPr>
            <w:tcW w:type="dxa" w:w="4968"/>
          </w:tcPr>
          <w:p>
            <w:r>
              <w:rPr>
                <w:rFonts w:ascii="Calibri" w:hAnsi="Calibri"/>
                <w:b/>
                <w:sz w:val="22"/>
              </w:rPr>
              <w:t>Date</w:t>
            </w:r>
          </w:p>
        </w:tc>
        <w:tc>
          <w:tcPr>
            <w:tcW w:type="dxa" w:w="4968"/>
          </w:tcPr>
          <w:p>
            <w:r>
              <w:rPr>
                <w:rFonts w:ascii="Calibri" w:hAnsi="Calibri"/>
                <w:sz w:val="22"/>
              </w:rPr>
              <w:t>October 02, 2026</w:t>
            </w:r>
          </w:p>
        </w:tc>
      </w:tr>
    </w:tbl>
    <w:p/>
    <w:p>
      <w:pPr>
        <w:pStyle w:val="Heading2"/>
      </w:pPr>
      <w:r>
        <w:t>Mandate &amp; Chat Context</w:t>
      </w:r>
    </w:p>
    <w:p>
      <w:pPr>
        <w:pStyle w:val="Heading3"/>
      </w:pPr>
      <w:r>
        <w:t>Latest user request (conversation record):</w:t>
      </w:r>
    </w:p>
    <w:p>
      <w:r>
        <w:t>UAT synthesis retry: Analyze Microsoft (MSFT) using the available SEC-sourced facts already in the system. In 4 concise bullets, summarize FY2026 reported revenue, operating margin, free cash flow and long-term debt; distinguish reported values from calculation and interpretation; state that no valuation recommendation is supported by this evidence.</w:t>
      </w:r>
    </w:p>
    <w:p>
      <w:pPr>
        <w:pStyle w:val="Heading3"/>
      </w:pPr>
      <w:r>
        <w:t>DealForge chat synthesis (not independently verified):</w:t>
      </w:r>
    </w:p>
    <w:p>
      <w:r>
        <w:t>## Executive Brief -- Microsoft</w:t>
        <w:br/>
        <w:br/>
        <w:t>**Review status:** Analysis tasks completed; findings remain subject to source verification. 1/1 tasks returned results; 0 financial source records captured.</w:t>
        <w:br/>
        <w:br/>
        <w:t>**Decision:** caution</w:t>
        <w:br/>
        <w:br/>
        <w:t>**Score:** Not scored.</w:t>
        <w:br/>
        <w:br/>
        <w:t>### Evidence Snapshot</w:t>
        <w:br/>
        <w:br/>
        <w:t>| Measure | Recorded value | Period | Producing agent |</w:t>
        <w:br/>
        <w:t>| --- | ---: | --- | --- |</w:t>
        <w:br/>
        <w:t>| Revenue | 331839000000 | Not established | Financial Analyst |</w:t>
        <w:br/>
        <w:t>| Operating cash flow | 182935000000 | Not established | Financial Analyst |</w:t>
        <w:br/>
        <w:t>| Free cash flow | 66987000000 | Not established | Financial Analyst |</w:t>
        <w:br/>
        <w:br/>
        <w:br/>
        <w:t>*Values and claims above are reproduced from agent outputs; inspect linked evidence in each agent's detail. Missing values are not zero. Model confidence scores are not calibrated.*</w:t>
      </w:r>
    </w:p>
    <w:p>
      <w:r>
        <w:t>Chat text is included for scope and continuity only. It is not a primary source; verify every factual claim against the cited records below.</w:t>
      </w:r>
    </w:p>
    <w:p>
      <w:pPr>
        <w:pStyle w:val="Heading2"/>
      </w:pPr>
      <w:r>
        <w:t>Situation</w:t>
      </w:r>
    </w:p>
    <w:p>
      <w:r>
        <w:t>Financial data points are recorded for Not established.</w:t>
      </w:r>
    </w:p>
    <w:p>
      <w:pPr>
        <w:pStyle w:val="Heading2"/>
      </w:pPr>
      <w:r>
        <w:t>Complication</w:t>
      </w:r>
    </w:p>
    <w:p>
      <w:r>
        <w:t>The saved record does not establish material open diligence items.</w:t>
      </w:r>
    </w:p>
    <w:p>
      <w:pPr>
        <w:pStyle w:val="Heading2"/>
      </w:pPr>
      <w:r>
        <w:t>Question</w:t>
      </w:r>
    </w:p>
    <w:p>
      <w:r>
        <w:t>What is the current valuation impact of the company's cash generation profile?</w:t>
      </w:r>
    </w:p>
    <w:p>
      <w:pPr>
        <w:pStyle w:val="Heading2"/>
      </w:pPr>
      <w:r>
        <w:t>AI Synthesis (not a recorded decision)</w:t>
      </w:r>
    </w:p>
    <w:p>
      <w:r>
        <w:t>No recommendation recorded; human review required.</w:t>
      </w:r>
    </w:p>
    <w:p>
      <w:pPr>
        <w:pStyle w:val="Heading2"/>
      </w:pPr>
      <w:r>
        <w:t>Decision-Relevant Takeaways</w:t>
      </w:r>
    </w:p>
    <w:p>
      <w:pPr>
        <w:pStyle w:val="ListBullet"/>
      </w:pPr>
      <w:r>
        <w:t>Financial Analyst: caution</w:t>
      </w:r>
    </w:p>
    <w:p>
      <w:pPr>
        <w:pStyle w:val="Heading2"/>
      </w:pPr>
      <w:r>
        <w:t>Evidence Brief (recorded outputs)</w:t>
      </w:r>
    </w:p>
    <w:p>
      <w:r>
        <w:t>1 successful analyses; 0 agent outputs included citations.</w:t>
      </w:r>
    </w:p>
    <w:p>
      <w:pPr>
        <w:pStyle w:val="ListBullet"/>
      </w:pPr>
      <w:r>
        <w:t>caution [Source agent: financial_analyst]</w:t>
      </w:r>
    </w:p>
    <w:p>
      <w:pPr>
        <w:pStyle w:val="Heading3"/>
      </w:pPr>
      <w:r>
        <w:t>Curated API data points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</w:tcPr>
          <w:p>
            <w:r>
              <w:t>Metric</w:t>
            </w:r>
          </w:p>
        </w:tc>
        <w:tc>
          <w:tcPr>
            <w:tcW w:type="dxa" w:w="1987"/>
          </w:tcPr>
          <w:p>
            <w:r>
              <w:t>Value</w:t>
            </w:r>
          </w:p>
        </w:tc>
        <w:tc>
          <w:tcPr>
            <w:tcW w:type="dxa" w:w="1987"/>
          </w:tcPr>
          <w:p>
            <w:r>
              <w:t>Period</w:t>
            </w:r>
          </w:p>
        </w:tc>
        <w:tc>
          <w:tcPr>
            <w:tcW w:type="dxa" w:w="1987"/>
          </w:tcPr>
          <w:p>
            <w:r>
              <w:t>Basis</w:t>
            </w:r>
          </w:p>
        </w:tc>
        <w:tc>
          <w:tcPr>
            <w:tcW w:type="dxa" w:w="1987"/>
          </w:tcPr>
          <w:p>
            <w:r>
              <w:t>Source</w:t>
            </w:r>
          </w:p>
        </w:tc>
      </w:tr>
      <w:tr>
        <w:tc>
          <w:tcPr>
            <w:tcW w:type="dxa" w:w="1987"/>
          </w:tcPr>
          <w:p>
            <w:r>
              <w:t>Operating Cash Flow</w:t>
            </w:r>
          </w:p>
        </w:tc>
        <w:tc>
          <w:tcPr>
            <w:tcW w:type="dxa" w:w="1987"/>
          </w:tcPr>
          <w:p>
            <w:r>
              <w:t>$182.9bn</w:t>
            </w:r>
          </w:p>
        </w:tc>
        <w:tc>
          <w:tcPr>
            <w:tcW w:type="dxa" w:w="1987"/>
          </w:tcPr>
          <w:p>
            <w:r>
              <w:t>Not established</w:t>
            </w:r>
          </w:p>
        </w:tc>
        <w:tc>
          <w:tcPr>
            <w:tcW w:type="dxa" w:w="1987"/>
          </w:tcPr>
          <w:p>
            <w:r>
              <w:t>reported_or_derived_from_reported</w:t>
            </w:r>
          </w:p>
        </w:tc>
        <w:tc>
          <w:tcPr>
            <w:tcW w:type="dxa" w:w="1987"/>
          </w:tcPr>
          <w:p>
            <w:r>
              <w:t>No citation recorded</w:t>
            </w:r>
          </w:p>
        </w:tc>
      </w:tr>
      <w:tr>
        <w:tc>
          <w:tcPr>
            <w:tcW w:type="dxa" w:w="1987"/>
          </w:tcPr>
          <w:p>
            <w:r>
              <w:t>Free Cash Flow</w:t>
            </w:r>
          </w:p>
        </w:tc>
        <w:tc>
          <w:tcPr>
            <w:tcW w:type="dxa" w:w="1987"/>
          </w:tcPr>
          <w:p>
            <w:r>
              <w:t>$67.0bn</w:t>
            </w:r>
          </w:p>
        </w:tc>
        <w:tc>
          <w:tcPr>
            <w:tcW w:type="dxa" w:w="1987"/>
          </w:tcPr>
          <w:p>
            <w:r>
              <w:t>Not established</w:t>
            </w:r>
          </w:p>
        </w:tc>
        <w:tc>
          <w:tcPr>
            <w:tcW w:type="dxa" w:w="1987"/>
          </w:tcPr>
          <w:p>
            <w:r>
              <w:t>reported_or_derived_from_reported</w:t>
            </w:r>
          </w:p>
        </w:tc>
        <w:tc>
          <w:tcPr>
            <w:tcW w:type="dxa" w:w="1987"/>
          </w:tcPr>
          <w:p>
            <w:r>
              <w:t>No citation recorded</w:t>
            </w:r>
          </w:p>
        </w:tc>
      </w:tr>
    </w:tbl>
    <w:p>
      <w:r>
        <w:t>Compiled from recorded agent outputs. Unreported values remain unknown; findings are not independently verified.</w:t>
      </w:r>
    </w:p>
    <w:p>
      <w:r>
        <w:br w:type="page"/>
      </w:r>
    </w:p>
    <w:p>
      <w:pPr>
        <w:pStyle w:val="Heading1"/>
      </w:pPr>
      <w:r>
        <w:t>2. Key Financial Metrics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003366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2"/>
              </w:rPr>
              <w:t>Metric</w:t>
            </w:r>
          </w:p>
        </w:tc>
        <w:tc>
          <w:tcPr>
            <w:tcW w:type="dxa" w:w="4968"/>
            <w:shd w:fill="003366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2"/>
              </w:rPr>
              <w:t>Value</w:t>
            </w:r>
          </w:p>
        </w:tc>
      </w:tr>
      <w:tr>
        <w:tc>
          <w:tcPr>
            <w:tcW w:type="dxa" w:w="4968"/>
          </w:tcPr>
          <w:p>
            <w:r>
              <w:rPr>
                <w:rFonts w:ascii="Calibri" w:hAnsi="Calibri"/>
                <w:sz w:val="22"/>
              </w:rPr>
              <w:t>revenue_analysis / annual_revenue</w:t>
            </w:r>
          </w:p>
        </w:tc>
        <w:tc>
          <w:tcPr>
            <w:tcW w:type="dxa" w:w="4968"/>
          </w:tcPr>
          <w:p>
            <w:r>
              <w:rPr>
                <w:rFonts w:ascii="Calibri" w:hAnsi="Calibri"/>
                <w:sz w:val="22"/>
              </w:rPr>
              <w:t>$331.8bn</w:t>
            </w:r>
          </w:p>
        </w:tc>
      </w:tr>
      <w:tr>
        <w:tc>
          <w:tcPr>
            <w:tcW w:type="dxa" w:w="4968"/>
          </w:tcPr>
          <w:p>
            <w:r>
              <w:rPr>
                <w:rFonts w:ascii="Calibri" w:hAnsi="Calibri"/>
                <w:sz w:val="22"/>
              </w:rPr>
              <w:t>profitability / gross_margin</w:t>
            </w:r>
          </w:p>
        </w:tc>
        <w:tc>
          <w:tcPr>
            <w:tcW w:type="dxa" w:w="4968"/>
          </w:tcPr>
          <w:p>
            <w:r>
              <w:rPr>
                <w:rFonts w:ascii="Calibri" w:hAnsi="Calibri"/>
                <w:sz w:val="22"/>
              </w:rPr>
              <w:t>67.94%</w:t>
            </w:r>
          </w:p>
        </w:tc>
      </w:tr>
      <w:tr>
        <w:tc>
          <w:tcPr>
            <w:tcW w:type="dxa" w:w="4968"/>
          </w:tcPr>
          <w:p>
            <w:r>
              <w:rPr>
                <w:rFonts w:ascii="Calibri" w:hAnsi="Calibri"/>
                <w:sz w:val="22"/>
              </w:rPr>
              <w:t>profitability / gross_profit</w:t>
            </w:r>
          </w:p>
        </w:tc>
        <w:tc>
          <w:tcPr>
            <w:tcW w:type="dxa" w:w="4968"/>
          </w:tcPr>
          <w:p>
            <w:r>
              <w:rPr>
                <w:rFonts w:ascii="Calibri" w:hAnsi="Calibri"/>
                <w:sz w:val="22"/>
              </w:rPr>
              <w:t>$225.5bn</w:t>
            </w:r>
          </w:p>
        </w:tc>
      </w:tr>
      <w:tr>
        <w:tc>
          <w:tcPr>
            <w:tcW w:type="dxa" w:w="4968"/>
          </w:tcPr>
          <w:p>
            <w:r>
              <w:rPr>
                <w:rFonts w:ascii="Calibri" w:hAnsi="Calibri"/>
                <w:sz w:val="22"/>
              </w:rPr>
              <w:t>cash_flow / operating_cash_flow</w:t>
            </w:r>
          </w:p>
        </w:tc>
        <w:tc>
          <w:tcPr>
            <w:tcW w:type="dxa" w:w="4968"/>
          </w:tcPr>
          <w:p>
            <w:r>
              <w:rPr>
                <w:rFonts w:ascii="Calibri" w:hAnsi="Calibri"/>
                <w:sz w:val="22"/>
              </w:rPr>
              <w:t>$182.9bn</w:t>
            </w:r>
          </w:p>
        </w:tc>
      </w:tr>
      <w:tr>
        <w:tc>
          <w:tcPr>
            <w:tcW w:type="dxa" w:w="4968"/>
          </w:tcPr>
          <w:p>
            <w:r>
              <w:rPr>
                <w:rFonts w:ascii="Calibri" w:hAnsi="Calibri"/>
                <w:sz w:val="22"/>
              </w:rPr>
              <w:t>cash_flow / free_cash_flow</w:t>
            </w:r>
          </w:p>
        </w:tc>
        <w:tc>
          <w:tcPr>
            <w:tcW w:type="dxa" w:w="4968"/>
          </w:tcPr>
          <w:p>
            <w:r>
              <w:rPr>
                <w:rFonts w:ascii="Calibri" w:hAnsi="Calibri"/>
                <w:sz w:val="22"/>
              </w:rPr>
              <w:t>$67.0bn</w:t>
            </w:r>
          </w:p>
        </w:tc>
      </w:tr>
      <w:tr>
        <w:tc>
          <w:tcPr>
            <w:tcW w:type="dxa" w:w="4968"/>
          </w:tcPr>
          <w:p>
            <w:r>
              <w:rPr>
                <w:rFonts w:ascii="Calibri" w:hAnsi="Calibri"/>
                <w:sz w:val="22"/>
              </w:rPr>
              <w:t>cash_flow / free_cash_flow_basis</w:t>
            </w:r>
          </w:p>
        </w:tc>
        <w:tc>
          <w:tcPr>
            <w:tcW w:type="dxa" w:w="4968"/>
          </w:tcPr>
          <w:p>
            <w:r>
              <w:rPr>
                <w:rFonts w:ascii="Calibri" w:hAnsi="Calibri"/>
                <w:sz w:val="22"/>
              </w:rPr>
              <w:t>Derived as operating cash flow less capital expenditures for 2026.</w:t>
            </w:r>
          </w:p>
        </w:tc>
      </w:tr>
    </w:tbl>
    <w:p/>
    <w:p>
      <w:pPr>
        <w:pStyle w:val="Heading2"/>
      </w:pPr>
      <w:r>
        <w:t>Recorded Financial Synthesis (verify against sources)</w:t>
      </w:r>
    </w:p>
    <w:p>
      <w:r>
        <w:t>Financial data points are recorded for Not established. Values are reproduced from saved analysis records; no independent verification or forecast is implied.</w:t>
      </w:r>
    </w:p>
    <w:p>
      <w:pPr>
        <w:pStyle w:val="Heading2"/>
      </w:pPr>
      <w:r>
        <w:t>Forecast status</w:t>
      </w:r>
    </w:p>
    <w:p>
      <w:r>
        <w:t>No source-backed forecast was supplied for this report. No projection has been estimated. A forecast requires approved assumptions and supporting historical financial data.</w:t>
      </w:r>
    </w:p>
    <w:p>
      <w:r>
        <w:br w:type="page"/>
      </w:r>
    </w:p>
    <w:p>
      <w:pPr>
        <w:pStyle w:val="Heading1"/>
      </w:pPr>
      <w:r>
        <w:t>3. Agent Findings</w:t>
      </w:r>
    </w:p>
    <w:p>
      <w:pPr>
        <w:pStyle w:val="Heading2"/>
      </w:pPr>
      <w:r>
        <w:t>3.1  Financial Analyst</w:t>
      </w:r>
    </w:p>
    <w:p>
      <w:r>
        <w:rPr>
          <w:rFonts w:ascii="Calibri" w:hAnsi="Calibri"/>
          <w:i/>
          <w:color w:val="606060"/>
          <w:sz w:val="20"/>
        </w:rPr>
        <w:t>Confidence: Not calibrated  |  Provider: lmstudio</w:t>
      </w:r>
    </w:p>
    <w:p>
      <w:r>
        <w:t>Completed: Focused Financial Assessment</w:t>
      </w:r>
    </w:p>
    <w:p>
      <w:r>
        <w:br w:type="page"/>
      </w:r>
    </w:p>
    <w:p>
      <w:pPr>
        <w:pStyle w:val="Heading1"/>
      </w:pPr>
      <w:r>
        <w:t>4. Risk Matrix</w:t>
      </w:r>
    </w:p>
    <w:p>
      <w:r>
        <w:t>No structured risk data available. Please run risk assessment for detailed audit.</w:t>
      </w:r>
    </w:p>
    <w:p>
      <w:r>
        <w:br w:type="page"/>
      </w:r>
    </w:p>
    <w:p>
      <w:pPr>
        <w:pStyle w:val="Heading1"/>
      </w:pPr>
      <w:r>
        <w:t>5. Visual Analytics Annex</w:t>
      </w:r>
    </w:p>
    <w:p>
      <w:r>
        <w:br w:type="page"/>
      </w:r>
    </w:p>
    <w:p>
      <w:pPr>
        <w:pStyle w:val="Heading1"/>
      </w:pPr>
      <w:r>
        <w:t>5. References &amp; Provenance</w:t>
      </w:r>
    </w:p>
    <w:p>
      <w:pPr>
        <w:pStyle w:val="ListNumber"/>
      </w:pPr>
      <w:r>
        <w:t>[1] Knowledge Base (RAG): 1 chunks used for data enrichment via PageIndex.</w:t>
      </w:r>
    </w:p>
    <w:p/>
    <w:p>
      <w:pPr>
        <w:jc w:val="center"/>
      </w:pPr>
      <w:r>
        <w:rPr>
          <w:rFonts w:ascii="Calibri" w:hAnsi="Calibri"/>
          <w:i/>
          <w:color w:val="808080"/>
          <w:sz w:val="18"/>
        </w:rPr>
        <w:t>This report was generated by DealForge AI Multi-Agent System. All data should be independently verified before making investment decisions.</w:t>
      </w:r>
    </w:p>
    <w:sectPr w:rsidR="00FC693F" w:rsidRPr="0006063C" w:rsidSect="00034616">
      <w:pgSz w:w="12240" w:h="15840"/>
      <w:pgMar w:top="1008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59" w:lineRule="auto"/>
    </w:pPr>
    <w:rPr>
      <w:rFonts w:ascii="Calibri" w:hAnsi="Calibri"/>
      <w:color w:val="20202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03366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03366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003366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