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C0C0C0"/>
          <w:sz w:val="72"/>
        </w:rPr>
        <w:t>CONFIDENTIAL</w:t>
      </w:r>
    </w:p>
    <w:p/>
    <w:p/>
    <w:p/>
    <w:p/>
    <w:p>
      <w:pPr>
        <w:jc w:val="center"/>
      </w:pPr>
      <w:r>
        <w:rPr>
          <w:rFonts w:ascii="Calibri" w:hAnsi="Calibri"/>
          <w:b/>
          <w:color w:val="003366"/>
          <w:sz w:val="64"/>
        </w:rPr>
        <w:t>Microsoft</w:t>
      </w:r>
    </w:p>
    <w:p>
      <w:pPr>
        <w:jc w:val="center"/>
      </w:pPr>
      <w:r>
        <w:rPr>
          <w:rFonts w:ascii="Calibri" w:hAnsi="Calibri"/>
          <w:color w:val="505050"/>
          <w:sz w:val="36"/>
        </w:rPr>
        <w:t>Deal Analysis &amp; Diligence Brief</w:t>
      </w:r>
    </w:p>
    <w:p>
      <w:pPr>
        <w:jc w:val="center"/>
      </w:pPr>
      <w:r>
        <w:rPr>
          <w:rFonts w:ascii="Calibri" w:hAnsi="Calibri"/>
          <w:color w:val="505050"/>
          <w:sz w:val="32"/>
        </w:rPr>
        <w:t>Target: Microsoft</w:t>
      </w:r>
    </w:p>
    <w:p/>
    <w:p>
      <w:pPr>
        <w:jc w:val="center"/>
      </w:pPr>
      <w:r>
        <w:rPr>
          <w:rFonts w:ascii="Calibri" w:hAnsi="Calibri"/>
          <w:color w:val="808080"/>
          <w:sz w:val="24"/>
        </w:rPr>
        <w:t>Prepared by DealForge AI | October 02,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  <w:spacing w:after="40"/>
      </w:pPr>
      <w:r>
        <w:rPr>
          <w:sz w:val="20"/>
        </w:rPr>
        <w:t>Executive Summary</w:t>
      </w:r>
    </w:p>
    <w:p>
      <w:pPr>
        <w:pStyle w:val="ListBullet"/>
        <w:spacing w:after="40"/>
      </w:pPr>
      <w:r>
        <w:rPr>
          <w:sz w:val="20"/>
        </w:rPr>
        <w:t>Financial Metrics and Source Status</w:t>
      </w:r>
    </w:p>
    <w:p>
      <w:pPr>
        <w:pStyle w:val="ListBullet"/>
        <w:spacing w:after="40"/>
      </w:pPr>
      <w:r>
        <w:rPr>
          <w:sz w:val="20"/>
        </w:rPr>
        <w:t>Agent Findings</w:t>
      </w:r>
    </w:p>
    <w:p>
      <w:pPr>
        <w:pStyle w:val="ListBullet"/>
        <w:spacing w:after="40"/>
      </w:pPr>
      <w:r>
        <w:rPr>
          <w:sz w:val="20"/>
        </w:rPr>
        <w:t>References and Provenance</w:t>
      </w:r>
    </w:p>
    <w:p>
      <w:r>
        <w:br w:type="page"/>
      </w:r>
    </w:p>
    <w:p>
      <w:pPr>
        <w:pStyle w:val="Heading1"/>
      </w:pPr>
      <w:r>
        <w:t>Evidence Coverage &amp; Review Status</w:t>
      </w:r>
    </w:p>
    <w:p>
      <w:r>
        <w:t>Status: Human review required</w:t>
      </w:r>
    </w:p>
    <w:p>
      <w:r>
        <w:t>Recorded successful analyses: 1; source records: 5; curated financial data points: 39.</w:t>
      </w:r>
    </w:p>
    <w:p>
      <w:pPr>
        <w:pStyle w:val="ListBullet"/>
      </w:pPr>
      <w:r>
        <w:t>Synthesis agent unavailable; deterministic narrative and layout defaults used.</w:t>
      </w:r>
    </w:p>
    <w:p>
      <w:r>
        <w:t>Model-generated analysis is not independent verification. Confirm material claims against primary records before relying on them.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Target Company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Microsoft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Industry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Technology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Deal Score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Pending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October 02, 2026</w:t>
            </w:r>
          </w:p>
        </w:tc>
      </w:tr>
    </w:tbl>
    <w:p/>
    <w:p>
      <w:pPr>
        <w:pStyle w:val="Heading2"/>
      </w:pPr>
      <w:r>
        <w:t>Mandate &amp; Chat Context</w:t>
      </w:r>
    </w:p>
    <w:p>
      <w:pPr>
        <w:pStyle w:val="Heading3"/>
      </w:pPr>
      <w:r>
        <w:t>Latest user request (conversation record):</w:t>
      </w:r>
    </w:p>
    <w:p>
      <w:r>
        <w:t>Report financial statements for MSFT, including FY2026 revenue, operating margin, free cash flow, and long-term debt. Distinguish reported values from derived calculations; use retrieved SEC facts only.</w:t>
      </w:r>
    </w:p>
    <w:p>
      <w:r>
        <w:t>Chat text is included for scope and continuity only. It is not a primary source; verify every factual claim against the cited records below.</w:t>
      </w:r>
    </w:p>
    <w:p>
      <w:pPr>
        <w:pStyle w:val="Heading2"/>
      </w:pPr>
      <w:r>
        <w:t>Situation</w:t>
      </w:r>
    </w:p>
    <w:p>
      <w:r>
        <w:t>Financial data points are recorded for FY2022, FY2023, FY2024, FY2025, FY2026.</w:t>
      </w:r>
    </w:p>
    <w:p>
      <w:pPr>
        <w:pStyle w:val="Heading2"/>
      </w:pPr>
      <w:r>
        <w:t>Complication</w:t>
      </w:r>
    </w:p>
    <w:p>
      <w:r>
        <w:t>Open diligence items remain: SEC company-facts values are extracted from XBRL; inspect the linked filing for definitions, restatements, and context.; EBITDA is not established by the extracted GAAP statement fields and remains unknown.</w:t>
      </w:r>
    </w:p>
    <w:p>
      <w:pPr>
        <w:pStyle w:val="Heading2"/>
      </w:pPr>
      <w:r>
        <w:t>Question</w:t>
      </w:r>
    </w:p>
    <w:p>
      <w:r>
        <w:t>The decision question must be confirmed against the deal mandate and intended use of this analysis.</w:t>
      </w:r>
    </w:p>
    <w:p>
      <w:pPr>
        <w:pStyle w:val="Heading2"/>
      </w:pPr>
      <w:r>
        <w:t>AI Synthesis (not a recorded decision)</w:t>
      </w:r>
    </w:p>
    <w:p>
      <w:r>
        <w:t>No recommendation recorded; human review required.</w:t>
      </w:r>
    </w:p>
    <w:p>
      <w:pPr>
        <w:pStyle w:val="Heading2"/>
      </w:pPr>
      <w:r>
        <w:t>Decision-Relevant Takeaways</w:t>
      </w:r>
    </w:p>
    <w:p>
      <w:pPr>
        <w:pStyle w:val="ListBullet"/>
      </w:pPr>
      <w:r>
        <w:t>Revenue trend: Reported revenue increased from 198,270,000,000 in FY2022 to 331,839,000,000 in FY2026; the derived CAGR was 13.74% ([S1] [S5]). This is historical growth, not a forecast.</w:t>
      </w:r>
    </w:p>
    <w:p>
      <w:pPr>
        <w:pStyle w:val="ListBullet"/>
      </w:pPr>
      <w:r>
        <w:t>Growth trajectory: Revenue growth accelerated by 2.86 percentage points, from 14.93% in FY2025 to 17.79% in FY2026 ([S4] [S5]).</w:t>
      </w:r>
    </w:p>
    <w:p>
      <w:pPr>
        <w:pStyle w:val="ListBullet"/>
      </w:pPr>
      <w:r>
        <w:t>Operating margin: Reported operating margin changed by +4.72 percentage points, from 42.06% in FY2022 to 46.78% in FY2026 ([S1] [S5]). This is a historical comparison, not a causal explanation.</w:t>
      </w:r>
    </w:p>
    <w:p>
      <w:pPr>
        <w:pStyle w:val="Heading2"/>
      </w:pPr>
      <w:r>
        <w:t>Evidence Brief (recorded outputs)</w:t>
      </w:r>
    </w:p>
    <w:p>
      <w:r>
        <w:t>1 successful analyses; 1 agent outputs included citations.</w:t>
      </w:r>
    </w:p>
    <w:p>
      <w:pPr>
        <w:pStyle w:val="ListBullet"/>
      </w:pPr>
      <w:r>
        <w:t>revenue_cagr [Source agent: financial_analyst]</w:t>
      </w:r>
    </w:p>
    <w:p>
      <w:pPr>
        <w:pStyle w:val="ListBullet"/>
      </w:pPr>
      <w:r>
        <w:t>revenue_growth_trend [Source agent: financial_analyst]</w:t>
      </w:r>
    </w:p>
    <w:p>
      <w:pPr>
        <w:pStyle w:val="ListBullet"/>
      </w:pPr>
      <w:r>
        <w:t>operating_margin_change [Source agent: financial_analyst]</w:t>
      </w:r>
    </w:p>
    <w:p>
      <w:pPr>
        <w:pStyle w:val="Heading3"/>
      </w:pPr>
      <w:r>
        <w:t>Open data gaps</w:t>
      </w:r>
    </w:p>
    <w:p>
      <w:pPr>
        <w:pStyle w:val="ListBullet"/>
      </w:pPr>
      <w:r>
        <w:t>SEC company-facts values are extracted from XBRL; inspect the linked filing for definitions, restatements, and context. [Source agent: financial_analyst]</w:t>
      </w:r>
    </w:p>
    <w:p>
      <w:pPr>
        <w:pStyle w:val="ListBullet"/>
      </w:pPr>
      <w:r>
        <w:t>EBITDA is not established by the extracted GAAP statement fields and remains unknown. [Source agent: financial_analyst]</w:t>
      </w:r>
    </w:p>
    <w:p>
      <w:pPr>
        <w:pStyle w:val="ListBullet"/>
      </w:pPr>
      <w:r>
        <w:t>This deterministic fallback does not generate a valuation or transaction recommendation. [Source agent: financial_analyst]</w:t>
      </w:r>
    </w:p>
    <w:p>
      <w:r>
        <w:t>Compiled from recorded agent outputs. Unreported values remain unknown; findings are not independently verified.</w:t>
      </w:r>
    </w:p>
    <w:p>
      <w:r>
        <w:br w:type="page"/>
      </w:r>
    </w:p>
    <w:p>
      <w:pPr>
        <w:pStyle w:val="Heading1"/>
      </w:pPr>
      <w:r>
        <w:t>2. Financial Metrics and Source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1987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1987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Period</w:t>
            </w:r>
          </w:p>
        </w:tc>
        <w:tc>
          <w:tcPr>
            <w:tcW w:type="dxa" w:w="1987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Evidence basis</w:t>
            </w:r>
          </w:p>
        </w:tc>
        <w:tc>
          <w:tcPr>
            <w:tcW w:type="dxa" w:w="1987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1987"/>
          </w:tcPr>
          <w:p>
            <w:r>
              <w:t>Revenue</w:t>
            </w:r>
          </w:p>
        </w:tc>
        <w:tc>
          <w:tcPr>
            <w:tcW w:type="dxa" w:w="1987"/>
          </w:tcPr>
          <w:p>
            <w:r>
              <w:t>$331.8bn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S5</w:t>
            </w:r>
          </w:p>
        </w:tc>
      </w:tr>
      <w:tr>
        <w:tc>
          <w:tcPr>
            <w:tcW w:type="dxa" w:w="1987"/>
          </w:tcPr>
          <w:p>
            <w:r>
              <w:t>Operating Margin Percent</w:t>
            </w:r>
          </w:p>
        </w:tc>
        <w:tc>
          <w:tcPr>
            <w:tcW w:type="dxa" w:w="1987"/>
          </w:tcPr>
          <w:p>
            <w:r>
              <w:t>46.78%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Derived Source Linked</w:t>
            </w:r>
          </w:p>
        </w:tc>
        <w:tc>
          <w:tcPr>
            <w:tcW w:type="dxa" w:w="1987"/>
          </w:tcPr>
          <w:p>
            <w:r>
              <w:t>S5</w:t>
            </w:r>
          </w:p>
        </w:tc>
      </w:tr>
      <w:tr>
        <w:tc>
          <w:tcPr>
            <w:tcW w:type="dxa" w:w="1987"/>
          </w:tcPr>
          <w:p>
            <w:r>
              <w:t>Operating Income</w:t>
            </w:r>
          </w:p>
        </w:tc>
        <w:tc>
          <w:tcPr>
            <w:tcW w:type="dxa" w:w="1987"/>
          </w:tcPr>
          <w:p>
            <w:r>
              <w:t>$155.2bn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S5</w:t>
            </w:r>
          </w:p>
        </w:tc>
      </w:tr>
      <w:tr>
        <w:tc>
          <w:tcPr>
            <w:tcW w:type="dxa" w:w="1987"/>
          </w:tcPr>
          <w:p>
            <w:r>
              <w:t>Free Cash Flow</w:t>
            </w:r>
          </w:p>
        </w:tc>
        <w:tc>
          <w:tcPr>
            <w:tcW w:type="dxa" w:w="1987"/>
          </w:tcPr>
          <w:p>
            <w:r>
              <w:t>$67.0bn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Derived Source Linked</w:t>
            </w:r>
          </w:p>
        </w:tc>
        <w:tc>
          <w:tcPr>
            <w:tcW w:type="dxa" w:w="1987"/>
          </w:tcPr>
          <w:p>
            <w:r>
              <w:t>S5</w:t>
            </w:r>
          </w:p>
        </w:tc>
      </w:tr>
      <w:tr>
        <w:tc>
          <w:tcPr>
            <w:tcW w:type="dxa" w:w="1987"/>
          </w:tcPr>
          <w:p>
            <w:r>
              <w:t>Operating Cash Flow</w:t>
            </w:r>
          </w:p>
        </w:tc>
        <w:tc>
          <w:tcPr>
            <w:tcW w:type="dxa" w:w="1987"/>
          </w:tcPr>
          <w:p>
            <w:r>
              <w:t>$182.9bn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S5</w:t>
            </w:r>
          </w:p>
        </w:tc>
      </w:tr>
      <w:tr>
        <w:tc>
          <w:tcPr>
            <w:tcW w:type="dxa" w:w="1987"/>
          </w:tcPr>
          <w:p>
            <w:r>
              <w:t>Long Term Debt</w:t>
            </w:r>
          </w:p>
        </w:tc>
        <w:tc>
          <w:tcPr>
            <w:tcW w:type="dxa" w:w="1987"/>
          </w:tcPr>
          <w:p>
            <w:r>
              <w:t>$40.3bn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S5</w:t>
            </w:r>
          </w:p>
        </w:tc>
      </w:tr>
      <w:tr>
        <w:tc>
          <w:tcPr>
            <w:tcW w:type="dxa" w:w="1987"/>
          </w:tcPr>
          <w:p>
            <w:r>
              <w:t>Cash</w:t>
            </w:r>
          </w:p>
        </w:tc>
        <w:tc>
          <w:tcPr>
            <w:tcW w:type="dxa" w:w="1987"/>
          </w:tcPr>
          <w:p>
            <w:r>
              <w:t>$20.9bn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S5</w:t>
            </w:r>
          </w:p>
        </w:tc>
      </w:tr>
      <w:tr>
        <w:tc>
          <w:tcPr>
            <w:tcW w:type="dxa" w:w="1987"/>
          </w:tcPr>
          <w:p>
            <w:r>
              <w:t>Net Income</w:t>
            </w:r>
          </w:p>
        </w:tc>
        <w:tc>
          <w:tcPr>
            <w:tcW w:type="dxa" w:w="1987"/>
          </w:tcPr>
          <w:p>
            <w:r>
              <w:t>$133.7bn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S5</w:t>
            </w:r>
          </w:p>
        </w:tc>
      </w:tr>
      <w:tr>
        <w:tc>
          <w:tcPr>
            <w:tcW w:type="dxa" w:w="1987"/>
          </w:tcPr>
          <w:p>
            <w:r>
              <w:t>Revenue Yoy Percent</w:t>
            </w:r>
          </w:p>
        </w:tc>
        <w:tc>
          <w:tcPr>
            <w:tcW w:type="dxa" w:w="1987"/>
          </w:tcPr>
          <w:p>
            <w:r>
              <w:t>17.79%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Derived Source Linked</w:t>
            </w:r>
          </w:p>
        </w:tc>
        <w:tc>
          <w:tcPr>
            <w:tcW w:type="dxa" w:w="1987"/>
          </w:tcPr>
          <w:p>
            <w:r>
              <w:t>S5</w:t>
            </w:r>
          </w:p>
        </w:tc>
      </w:tr>
      <w:tr>
        <w:tc>
          <w:tcPr>
            <w:tcW w:type="dxa" w:w="1987"/>
          </w:tcPr>
          <w:p>
            <w:r>
              <w:t>Gross Profit</w:t>
            </w:r>
          </w:p>
        </w:tc>
        <w:tc>
          <w:tcPr>
            <w:tcW w:type="dxa" w:w="1987"/>
          </w:tcPr>
          <w:p>
            <w:r>
              <w:t>$225.5bn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S5</w:t>
            </w:r>
          </w:p>
        </w:tc>
      </w:tr>
      <w:tr>
        <w:tc>
          <w:tcPr>
            <w:tcW w:type="dxa" w:w="1987"/>
          </w:tcPr>
          <w:p>
            <w:r>
              <w:t>Gross Margin Percent</w:t>
            </w:r>
          </w:p>
        </w:tc>
        <w:tc>
          <w:tcPr>
            <w:tcW w:type="dxa" w:w="1987"/>
          </w:tcPr>
          <w:p>
            <w:r>
              <w:t>67.94%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Derived Source Linked</w:t>
            </w:r>
          </w:p>
        </w:tc>
        <w:tc>
          <w:tcPr>
            <w:tcW w:type="dxa" w:w="1987"/>
          </w:tcPr>
          <w:p>
            <w:r>
              <w:t>S5</w:t>
            </w:r>
          </w:p>
        </w:tc>
      </w:tr>
      <w:tr>
        <w:tc>
          <w:tcPr>
            <w:tcW w:type="dxa" w:w="1987"/>
          </w:tcPr>
          <w:p>
            <w:r>
              <w:t>Capital Expenditures</w:t>
            </w:r>
          </w:p>
        </w:tc>
        <w:tc>
          <w:tcPr>
            <w:tcW w:type="dxa" w:w="1987"/>
          </w:tcPr>
          <w:p>
            <w:r>
              <w:t>$115.9bn</w:t>
            </w:r>
          </w:p>
        </w:tc>
        <w:tc>
          <w:tcPr>
            <w:tcW w:type="dxa" w:w="1987"/>
          </w:tcPr>
          <w:p>
            <w:r>
              <w:t>FY2026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S5</w:t>
            </w:r>
          </w:p>
        </w:tc>
      </w:tr>
      <w:tr>
        <w:tc>
          <w:tcPr>
            <w:tcW w:type="dxa" w:w="1987"/>
          </w:tcPr>
          <w:p>
            <w:r>
              <w:t>Revenue</w:t>
            </w:r>
          </w:p>
        </w:tc>
        <w:tc>
          <w:tcPr>
            <w:tcW w:type="dxa" w:w="1987"/>
          </w:tcPr>
          <w:p>
            <w:r>
              <w:t>$198.3bn</w:t>
            </w:r>
          </w:p>
        </w:tc>
        <w:tc>
          <w:tcPr>
            <w:tcW w:type="dxa" w:w="1987"/>
          </w:tcPr>
          <w:p>
            <w:r>
              <w:t>FY2022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S1</w:t>
            </w:r>
          </w:p>
        </w:tc>
      </w:tr>
      <w:tr>
        <w:tc>
          <w:tcPr>
            <w:tcW w:type="dxa" w:w="1987"/>
          </w:tcPr>
          <w:p>
            <w:r>
              <w:t>Gross Profit</w:t>
            </w:r>
          </w:p>
        </w:tc>
        <w:tc>
          <w:tcPr>
            <w:tcW w:type="dxa" w:w="1987"/>
          </w:tcPr>
          <w:p>
            <w:r>
              <w:t>$135.6bn</w:t>
            </w:r>
          </w:p>
        </w:tc>
        <w:tc>
          <w:tcPr>
            <w:tcW w:type="dxa" w:w="1987"/>
          </w:tcPr>
          <w:p>
            <w:r>
              <w:t>FY2022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S1</w:t>
            </w:r>
          </w:p>
        </w:tc>
      </w:tr>
      <w:tr>
        <w:tc>
          <w:tcPr>
            <w:tcW w:type="dxa" w:w="1987"/>
          </w:tcPr>
          <w:p>
            <w:r>
              <w:t>Gross Margin Percent</w:t>
            </w:r>
          </w:p>
        </w:tc>
        <w:tc>
          <w:tcPr>
            <w:tcW w:type="dxa" w:w="1987"/>
          </w:tcPr>
          <w:p>
            <w:r>
              <w:t>68.4%</w:t>
            </w:r>
          </w:p>
        </w:tc>
        <w:tc>
          <w:tcPr>
            <w:tcW w:type="dxa" w:w="1987"/>
          </w:tcPr>
          <w:p>
            <w:r>
              <w:t>FY2022</w:t>
            </w:r>
          </w:p>
        </w:tc>
        <w:tc>
          <w:tcPr>
            <w:tcW w:type="dxa" w:w="1987"/>
          </w:tcPr>
          <w:p>
            <w:r>
              <w:t>Derived Source Linked</w:t>
            </w:r>
          </w:p>
        </w:tc>
        <w:tc>
          <w:tcPr>
            <w:tcW w:type="dxa" w:w="1987"/>
          </w:tcPr>
          <w:p>
            <w:r>
              <w:t>S1</w:t>
            </w:r>
          </w:p>
        </w:tc>
      </w:tr>
      <w:tr>
        <w:tc>
          <w:tcPr>
            <w:tcW w:type="dxa" w:w="1987"/>
          </w:tcPr>
          <w:p>
            <w:r>
              <w:t>Operating Income</w:t>
            </w:r>
          </w:p>
        </w:tc>
        <w:tc>
          <w:tcPr>
            <w:tcW w:type="dxa" w:w="1987"/>
          </w:tcPr>
          <w:p>
            <w:r>
              <w:t>$83.4bn</w:t>
            </w:r>
          </w:p>
        </w:tc>
        <w:tc>
          <w:tcPr>
            <w:tcW w:type="dxa" w:w="1987"/>
          </w:tcPr>
          <w:p>
            <w:r>
              <w:t>FY2022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S1</w:t>
            </w:r>
          </w:p>
        </w:tc>
      </w:tr>
      <w:tr>
        <w:tc>
          <w:tcPr>
            <w:tcW w:type="dxa" w:w="1987"/>
          </w:tcPr>
          <w:p>
            <w:r>
              <w:t>Operating Margin Percent</w:t>
            </w:r>
          </w:p>
        </w:tc>
        <w:tc>
          <w:tcPr>
            <w:tcW w:type="dxa" w:w="1987"/>
          </w:tcPr>
          <w:p>
            <w:r>
              <w:t>42.06%</w:t>
            </w:r>
          </w:p>
        </w:tc>
        <w:tc>
          <w:tcPr>
            <w:tcW w:type="dxa" w:w="1987"/>
          </w:tcPr>
          <w:p>
            <w:r>
              <w:t>FY2022</w:t>
            </w:r>
          </w:p>
        </w:tc>
        <w:tc>
          <w:tcPr>
            <w:tcW w:type="dxa" w:w="1987"/>
          </w:tcPr>
          <w:p>
            <w:r>
              <w:t>Derived Source Linked</w:t>
            </w:r>
          </w:p>
        </w:tc>
        <w:tc>
          <w:tcPr>
            <w:tcW w:type="dxa" w:w="1987"/>
          </w:tcPr>
          <w:p>
            <w:r>
              <w:t>S1</w:t>
            </w:r>
          </w:p>
        </w:tc>
      </w:tr>
      <w:tr>
        <w:tc>
          <w:tcPr>
            <w:tcW w:type="dxa" w:w="1987"/>
          </w:tcPr>
          <w:p>
            <w:r>
              <w:t>Net Income</w:t>
            </w:r>
          </w:p>
        </w:tc>
        <w:tc>
          <w:tcPr>
            <w:tcW w:type="dxa" w:w="1987"/>
          </w:tcPr>
          <w:p>
            <w:r>
              <w:t>$72.7bn</w:t>
            </w:r>
          </w:p>
        </w:tc>
        <w:tc>
          <w:tcPr>
            <w:tcW w:type="dxa" w:w="1987"/>
          </w:tcPr>
          <w:p>
            <w:r>
              <w:t>FY2022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S1</w:t>
            </w:r>
          </w:p>
        </w:tc>
      </w:tr>
      <w:tr>
        <w:tc>
          <w:tcPr>
            <w:tcW w:type="dxa" w:w="1987"/>
          </w:tcPr>
          <w:p>
            <w:r>
              <w:t>Revenue</w:t>
            </w:r>
          </w:p>
        </w:tc>
        <w:tc>
          <w:tcPr>
            <w:tcW w:type="dxa" w:w="1987"/>
          </w:tcPr>
          <w:p>
            <w:r>
              <w:t>$211.9bn</w:t>
            </w:r>
          </w:p>
        </w:tc>
        <w:tc>
          <w:tcPr>
            <w:tcW w:type="dxa" w:w="1987"/>
          </w:tcPr>
          <w:p>
            <w:r>
              <w:t>FY2023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Revenue Yoy Percent</w:t>
            </w:r>
          </w:p>
        </w:tc>
        <w:tc>
          <w:tcPr>
            <w:tcW w:type="dxa" w:w="1987"/>
          </w:tcPr>
          <w:p>
            <w:r>
              <w:t>6.88%</w:t>
            </w:r>
          </w:p>
        </w:tc>
        <w:tc>
          <w:tcPr>
            <w:tcW w:type="dxa" w:w="1987"/>
          </w:tcPr>
          <w:p>
            <w:r>
              <w:t>FY2023</w:t>
            </w:r>
          </w:p>
        </w:tc>
        <w:tc>
          <w:tcPr>
            <w:tcW w:type="dxa" w:w="1987"/>
          </w:tcPr>
          <w:p>
            <w:r>
              <w:t>Derived Source Linked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Gross Profit</w:t>
            </w:r>
          </w:p>
        </w:tc>
        <w:tc>
          <w:tcPr>
            <w:tcW w:type="dxa" w:w="1987"/>
          </w:tcPr>
          <w:p>
            <w:r>
              <w:t>$146.1bn</w:t>
            </w:r>
          </w:p>
        </w:tc>
        <w:tc>
          <w:tcPr>
            <w:tcW w:type="dxa" w:w="1987"/>
          </w:tcPr>
          <w:p>
            <w:r>
              <w:t>FY2023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Gross Margin Percent</w:t>
            </w:r>
          </w:p>
        </w:tc>
        <w:tc>
          <w:tcPr>
            <w:tcW w:type="dxa" w:w="1987"/>
          </w:tcPr>
          <w:p>
            <w:r>
              <w:t>68.92%</w:t>
            </w:r>
          </w:p>
        </w:tc>
        <w:tc>
          <w:tcPr>
            <w:tcW w:type="dxa" w:w="1987"/>
          </w:tcPr>
          <w:p>
            <w:r>
              <w:t>FY2023</w:t>
            </w:r>
          </w:p>
        </w:tc>
        <w:tc>
          <w:tcPr>
            <w:tcW w:type="dxa" w:w="1987"/>
          </w:tcPr>
          <w:p>
            <w:r>
              <w:t>Derived Source Linked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Operating Income</w:t>
            </w:r>
          </w:p>
        </w:tc>
        <w:tc>
          <w:tcPr>
            <w:tcW w:type="dxa" w:w="1987"/>
          </w:tcPr>
          <w:p>
            <w:r>
              <w:t>$88.5bn</w:t>
            </w:r>
          </w:p>
        </w:tc>
        <w:tc>
          <w:tcPr>
            <w:tcW w:type="dxa" w:w="1987"/>
          </w:tcPr>
          <w:p>
            <w:r>
              <w:t>FY2023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Operating Margin Percent</w:t>
            </w:r>
          </w:p>
        </w:tc>
        <w:tc>
          <w:tcPr>
            <w:tcW w:type="dxa" w:w="1987"/>
          </w:tcPr>
          <w:p>
            <w:r>
              <w:t>41.77%</w:t>
            </w:r>
          </w:p>
        </w:tc>
        <w:tc>
          <w:tcPr>
            <w:tcW w:type="dxa" w:w="1987"/>
          </w:tcPr>
          <w:p>
            <w:r>
              <w:t>FY2023</w:t>
            </w:r>
          </w:p>
        </w:tc>
        <w:tc>
          <w:tcPr>
            <w:tcW w:type="dxa" w:w="1987"/>
          </w:tcPr>
          <w:p>
            <w:r>
              <w:t>Derived Source Linked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Net Income</w:t>
            </w:r>
          </w:p>
        </w:tc>
        <w:tc>
          <w:tcPr>
            <w:tcW w:type="dxa" w:w="1987"/>
          </w:tcPr>
          <w:p>
            <w:r>
              <w:t>$72.4bn</w:t>
            </w:r>
          </w:p>
        </w:tc>
        <w:tc>
          <w:tcPr>
            <w:tcW w:type="dxa" w:w="1987"/>
          </w:tcPr>
          <w:p>
            <w:r>
              <w:t>FY2023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S2</w:t>
            </w:r>
          </w:p>
        </w:tc>
      </w:tr>
      <w:tr>
        <w:tc>
          <w:tcPr>
            <w:tcW w:type="dxa" w:w="1987"/>
          </w:tcPr>
          <w:p>
            <w:r>
              <w:t>Revenue</w:t>
            </w:r>
          </w:p>
        </w:tc>
        <w:tc>
          <w:tcPr>
            <w:tcW w:type="dxa" w:w="1987"/>
          </w:tcPr>
          <w:p>
            <w:r>
              <w:t>$245.1bn</w:t>
            </w:r>
          </w:p>
        </w:tc>
        <w:tc>
          <w:tcPr>
            <w:tcW w:type="dxa" w:w="1987"/>
          </w:tcPr>
          <w:p>
            <w:r>
              <w:t>FY2024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S3</w:t>
            </w:r>
          </w:p>
        </w:tc>
      </w:tr>
      <w:tr>
        <w:tc>
          <w:tcPr>
            <w:tcW w:type="dxa" w:w="1987"/>
          </w:tcPr>
          <w:p>
            <w:r>
              <w:t>Revenue Yoy Percent</w:t>
            </w:r>
          </w:p>
        </w:tc>
        <w:tc>
          <w:tcPr>
            <w:tcW w:type="dxa" w:w="1987"/>
          </w:tcPr>
          <w:p>
            <w:r>
              <w:t>15.67%</w:t>
            </w:r>
          </w:p>
        </w:tc>
        <w:tc>
          <w:tcPr>
            <w:tcW w:type="dxa" w:w="1987"/>
          </w:tcPr>
          <w:p>
            <w:r>
              <w:t>FY2024</w:t>
            </w:r>
          </w:p>
        </w:tc>
        <w:tc>
          <w:tcPr>
            <w:tcW w:type="dxa" w:w="1987"/>
          </w:tcPr>
          <w:p>
            <w:r>
              <w:t>Derived Source Linked</w:t>
            </w:r>
          </w:p>
        </w:tc>
        <w:tc>
          <w:tcPr>
            <w:tcW w:type="dxa" w:w="1987"/>
          </w:tcPr>
          <w:p>
            <w:r>
              <w:t>S3</w:t>
            </w:r>
          </w:p>
        </w:tc>
      </w:tr>
      <w:tr>
        <w:tc>
          <w:tcPr>
            <w:tcW w:type="dxa" w:w="1987"/>
          </w:tcPr>
          <w:p>
            <w:r>
              <w:t>Gross Profit</w:t>
            </w:r>
          </w:p>
        </w:tc>
        <w:tc>
          <w:tcPr>
            <w:tcW w:type="dxa" w:w="1987"/>
          </w:tcPr>
          <w:p>
            <w:r>
              <w:t>$171.0bn</w:t>
            </w:r>
          </w:p>
        </w:tc>
        <w:tc>
          <w:tcPr>
            <w:tcW w:type="dxa" w:w="1987"/>
          </w:tcPr>
          <w:p>
            <w:r>
              <w:t>FY2024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S3</w:t>
            </w:r>
          </w:p>
        </w:tc>
      </w:tr>
      <w:tr>
        <w:tc>
          <w:tcPr>
            <w:tcW w:type="dxa" w:w="1987"/>
          </w:tcPr>
          <w:p>
            <w:r>
              <w:t>Gross Margin Percent</w:t>
            </w:r>
          </w:p>
        </w:tc>
        <w:tc>
          <w:tcPr>
            <w:tcW w:type="dxa" w:w="1987"/>
          </w:tcPr>
          <w:p>
            <w:r>
              <w:t>69.76%</w:t>
            </w:r>
          </w:p>
        </w:tc>
        <w:tc>
          <w:tcPr>
            <w:tcW w:type="dxa" w:w="1987"/>
          </w:tcPr>
          <w:p>
            <w:r>
              <w:t>FY2024</w:t>
            </w:r>
          </w:p>
        </w:tc>
        <w:tc>
          <w:tcPr>
            <w:tcW w:type="dxa" w:w="1987"/>
          </w:tcPr>
          <w:p>
            <w:r>
              <w:t>Derived Source Linked</w:t>
            </w:r>
          </w:p>
        </w:tc>
        <w:tc>
          <w:tcPr>
            <w:tcW w:type="dxa" w:w="1987"/>
          </w:tcPr>
          <w:p>
            <w:r>
              <w:t>S3</w:t>
            </w:r>
          </w:p>
        </w:tc>
      </w:tr>
      <w:tr>
        <w:tc>
          <w:tcPr>
            <w:tcW w:type="dxa" w:w="1987"/>
          </w:tcPr>
          <w:p>
            <w:r>
              <w:t>Operating Income</w:t>
            </w:r>
          </w:p>
        </w:tc>
        <w:tc>
          <w:tcPr>
            <w:tcW w:type="dxa" w:w="1987"/>
          </w:tcPr>
          <w:p>
            <w:r>
              <w:t>$109.4bn</w:t>
            </w:r>
          </w:p>
        </w:tc>
        <w:tc>
          <w:tcPr>
            <w:tcW w:type="dxa" w:w="1987"/>
          </w:tcPr>
          <w:p>
            <w:r>
              <w:t>FY2024</w:t>
            </w:r>
          </w:p>
        </w:tc>
        <w:tc>
          <w:tcPr>
            <w:tcW w:type="dxa" w:w="1987"/>
          </w:tcPr>
          <w:p>
            <w:r>
              <w:t>Reported Source Linked</w:t>
            </w:r>
          </w:p>
        </w:tc>
        <w:tc>
          <w:tcPr>
            <w:tcW w:type="dxa" w:w="1987"/>
          </w:tcPr>
          <w:p>
            <w:r>
              <w:t>S3</w:t>
            </w:r>
          </w:p>
        </w:tc>
      </w:tr>
    </w:tbl>
    <w:p>
      <w:r>
        <w:t>Values without a linked source are unverified agent output, not established reported facts.</w:t>
      </w:r>
    </w:p>
    <w:p>
      <w:pPr>
        <w:pStyle w:val="Heading2"/>
      </w:pPr>
      <w:r>
        <w:t>Recorded Financial Synthesis (verify against sources)</w:t>
      </w:r>
    </w:p>
    <w:p>
      <w:r>
        <w:t>Reported revenue increased from 198,270,000,000 in FY2022 to 331,839,000,000 in FY2026; the derived CAGR was 13.74% ([S1] [S5]). This is historical growth, not a forecast. Revenue growth accelerated by 2.86 percentage points, from 14.93% in FY2025 to 17.79% in FY2026 ([S4] [S5]). Reported operating margin changed by +4.72 percentage points, from 42.06% in FY2022 to 46.78% in FY2026 ([S1] [S5]). This is a historical comparison, not a causal explanation. These historical comparisons do not establish future performance.</w:t>
      </w:r>
    </w:p>
    <w:p>
      <w:r>
        <w:br w:type="page"/>
      </w:r>
    </w:p>
    <w:p>
      <w:pPr>
        <w:pStyle w:val="Heading1"/>
      </w:pPr>
      <w:r>
        <w:t>3. Agent Findings</w:t>
      </w:r>
    </w:p>
    <w:p>
      <w:pPr>
        <w:pStyle w:val="Heading2"/>
      </w:pPr>
      <w:r>
        <w:t>3.1  Financial Analyst</w:t>
      </w:r>
    </w:p>
    <w:p>
      <w:r>
        <w:rPr>
          <w:rFonts w:ascii="Calibri" w:hAnsi="Calibri"/>
          <w:i/>
          <w:color w:val="606060"/>
          <w:sz w:val="20"/>
        </w:rPr>
        <w:t>Confidence: Not reported  |  Provider: SEC EDGAR deterministic source report</w:t>
      </w:r>
    </w:p>
    <w:p>
      <w:r>
        <w:t>Reported financial data for MICROSOFT CORPORATION was retrieved from sec_edgar_companyfacts. Margins and revenue growth are calculated only where same-period inputs are present. EBITDA, valuation, and unsupported values remain unknown.</w:t>
      </w:r>
    </w:p>
    <w:p>
      <w:r>
        <w:br w:type="page"/>
      </w:r>
    </w:p>
    <w:p>
      <w:pPr>
        <w:pStyle w:val="Heading1"/>
      </w:pPr>
      <w:r>
        <w:t>References and Provenance</w:t>
      </w:r>
    </w:p>
    <w:p>
      <w:pPr>
        <w:pStyle w:val="Heading2"/>
      </w:pPr>
      <w:r>
        <w:t>Source register</w:t>
      </w:r>
    </w:p>
    <w:p>
      <w:pPr>
        <w:pStyle w:val="ListBullet"/>
      </w:pPr>
      <w:r>
        <w:t>[S1] MICROSOFT CORPORATION 10-K | Period: 2022 | Filed: 2022-07-28 | https://www.sec.gov/Archives/edgar/data/789019/000156459022026876/</w:t>
      </w:r>
    </w:p>
    <w:p>
      <w:pPr>
        <w:pStyle w:val="ListBullet"/>
      </w:pPr>
      <w:r>
        <w:t>[S2] MICROSOFT CORPORATION 10-K | Period: 2023 | Filed: 2023-07-27 | https://www.sec.gov/Archives/edgar/data/789019/000095017023035122/</w:t>
      </w:r>
    </w:p>
    <w:p>
      <w:pPr>
        <w:pStyle w:val="ListBullet"/>
      </w:pPr>
      <w:r>
        <w:t>[S3] MICROSOFT CORPORATION 10-K | Period: 2024 | Filed: 2024-07-30 | https://www.sec.gov/Archives/edgar/data/789019/000095017024087843/</w:t>
      </w:r>
    </w:p>
    <w:p>
      <w:pPr>
        <w:pStyle w:val="ListBullet"/>
      </w:pPr>
      <w:r>
        <w:t>[S4] MICROSOFT CORPORATION 10-K | Period: 2025 | Filed: 2025-07-30 | https://www.sec.gov/Archives/edgar/data/789019/000095017025100235/</w:t>
      </w:r>
    </w:p>
    <w:p>
      <w:pPr>
        <w:pStyle w:val="ListBullet"/>
      </w:pPr>
      <w:r>
        <w:t>[S5] MICROSOFT CORPORATION 10-K | Period: 2026 | Filed: 2026-07-29 | https://www.sec.gov/Archives/edgar/data/789019/000119312526323660/</w:t>
      </w:r>
    </w:p>
    <w:p>
      <w:r>
        <w:t>No provenance records or references were captured for this report.</w:t>
      </w:r>
    </w:p>
    <w:p/>
    <w:p>
      <w:pPr>
        <w:jc w:val="center"/>
      </w:pPr>
      <w:r>
        <w:rPr>
          <w:rFonts w:ascii="Calibri" w:hAnsi="Calibri"/>
          <w:i/>
          <w:color w:val="808080"/>
          <w:sz w:val="18"/>
        </w:rPr>
        <w:t>This report was generated by DealForge AI Multi-Agent System. All data should be independently verified before making investment decisions.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