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36CB" w14:textId="3683D747" w:rsidR="00191B73" w:rsidRDefault="00191B73" w:rsidP="0088344B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447928" wp14:editId="65883C72">
            <wp:extent cx="6373504" cy="292036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15" b="4259"/>
                    <a:stretch/>
                  </pic:blipFill>
                  <pic:spPr bwMode="auto">
                    <a:xfrm>
                      <a:off x="0" y="0"/>
                      <a:ext cx="6414361" cy="293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7F0B0" w14:textId="3F27B886" w:rsidR="00191B73" w:rsidRDefault="00191B73" w:rsidP="0088344B">
      <w:r>
        <w:t xml:space="preserve">Resumo adaptado </w:t>
      </w:r>
      <w:r>
        <w:t>(</w:t>
      </w:r>
      <w:proofErr w:type="spellStart"/>
      <w:r>
        <w:t>Adjuik</w:t>
      </w:r>
      <w:proofErr w:type="spellEnd"/>
      <w:r>
        <w:t>, 2022)</w:t>
      </w:r>
      <w:r>
        <w:t xml:space="preserve"> das </w:t>
      </w:r>
      <w:r w:rsidRPr="00191B73">
        <w:t>etapas para o desenvolvimento de modelos para prever o fluxo de CO2 usando máquina</w:t>
      </w:r>
      <w:r>
        <w:t>.</w:t>
      </w:r>
    </w:p>
    <w:p w14:paraId="71DEB9B4" w14:textId="77777777" w:rsidR="00191B73" w:rsidRDefault="00191B73" w:rsidP="0088344B"/>
    <w:p w14:paraId="007C8653" w14:textId="3CD4C936" w:rsidR="007D2AFF" w:rsidRDefault="0088344B" w:rsidP="0088344B">
      <w:r w:rsidRPr="0088344B">
        <w:t>Um grande desafio, no entanto, é que a medição direta dos fluxos de CO2 do solo pode ser cara, demorada e requer algum nível de experiência, tornando difícil quantificar as emissões de CO2 provenientes de diferentes sistemas de manejo de culturas, especialmente onde as condições do solo são altamente variáveis.</w:t>
      </w:r>
      <w:r>
        <w:t xml:space="preserve"> (</w:t>
      </w:r>
      <w:proofErr w:type="spellStart"/>
      <w:r>
        <w:t>Adjuik</w:t>
      </w:r>
      <w:proofErr w:type="spellEnd"/>
      <w:r>
        <w:t>, 2022).</w:t>
      </w:r>
    </w:p>
    <w:p w14:paraId="3ECC4D8B" w14:textId="0E9CCE00" w:rsidR="0088344B" w:rsidRDefault="0088344B" w:rsidP="0088344B">
      <w:proofErr w:type="spellStart"/>
      <w:r>
        <w:t>Adjuik</w:t>
      </w:r>
      <w:proofErr w:type="spellEnd"/>
      <w:r>
        <w:t>, T.A.; Davis, S.C.</w:t>
      </w:r>
      <w:r>
        <w:t xml:space="preserve"> </w:t>
      </w:r>
      <w:proofErr w:type="spellStart"/>
      <w:r>
        <w:t>Machine</w:t>
      </w:r>
      <w:proofErr w:type="spellEnd"/>
      <w:r>
        <w:t xml:space="preserve"> Learning Approach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CO2 </w:t>
      </w:r>
      <w:proofErr w:type="spellStart"/>
      <w:r>
        <w:t>Fluxes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Cropping</w:t>
      </w:r>
      <w:proofErr w:type="spellEnd"/>
      <w:r>
        <w:t xml:space="preserve"> Systems. </w:t>
      </w:r>
      <w:proofErr w:type="spellStart"/>
      <w:r>
        <w:t>Agronomy</w:t>
      </w:r>
      <w:proofErr w:type="spellEnd"/>
      <w:r>
        <w:t xml:space="preserve"> 2022,</w:t>
      </w:r>
      <w:r>
        <w:t xml:space="preserve"> </w:t>
      </w:r>
      <w:r>
        <w:t xml:space="preserve">12, 197. </w:t>
      </w:r>
      <w:hyperlink r:id="rId5" w:history="1">
        <w:r w:rsidR="00093CC6" w:rsidRPr="00B7676C">
          <w:rPr>
            <w:rStyle w:val="Hyperlink"/>
          </w:rPr>
          <w:t>https://doi.org/10.3390/agronomy12010197</w:t>
        </w:r>
      </w:hyperlink>
    </w:p>
    <w:p w14:paraId="24E74260" w14:textId="74D7C9D0" w:rsidR="00093CC6" w:rsidRDefault="00093CC6" w:rsidP="0088344B"/>
    <w:p w14:paraId="156621A2" w14:textId="0A24FB14" w:rsidR="00093CC6" w:rsidRDefault="00093CC6" w:rsidP="0088344B"/>
    <w:p w14:paraId="47C0DCB9" w14:textId="4585E876" w:rsidR="00093CC6" w:rsidRDefault="00093CC6" w:rsidP="0088344B">
      <w:r>
        <w:t xml:space="preserve"> </w:t>
      </w:r>
    </w:p>
    <w:p w14:paraId="59435A61" w14:textId="7D53B3BD" w:rsidR="00093CC6" w:rsidRDefault="00093CC6" w:rsidP="00093CC6">
      <w:r>
        <w:t>De acordo com a FAOSTAT, as emissões de LULUC</w:t>
      </w:r>
      <w:r>
        <w:t xml:space="preserve"> </w:t>
      </w:r>
      <w:r w:rsidRPr="00093CC6">
        <w:t>(mudança de uso da terra)</w:t>
      </w:r>
      <w:r>
        <w:t xml:space="preserve"> associadas a</w:t>
      </w:r>
      <w:r>
        <w:t xml:space="preserve"> </w:t>
      </w:r>
      <w:proofErr w:type="spellStart"/>
      <w:r>
        <w:t>a</w:t>
      </w:r>
      <w:proofErr w:type="spellEnd"/>
      <w:r>
        <w:t xml:space="preserve"> produção agrícola (IPCC setor 3a) respondeu por 5,7 </w:t>
      </w:r>
      <w:proofErr w:type="spellStart"/>
      <w:r>
        <w:t>Gt</w:t>
      </w:r>
      <w:proofErr w:type="spellEnd"/>
      <w:r>
        <w:t xml:space="preserve"> CO2e</w:t>
      </w:r>
      <w:r>
        <w:t xml:space="preserve"> </w:t>
      </w:r>
      <w:r>
        <w:t>ano-1 em 2015, ou cerca de 32% do total de emissões do sistema alimentar. Essas emissões são compostas principalmente de perdas de carbono por desmatamento e degradação de solos orgânicos, incluindo turfeiras</w:t>
      </w:r>
      <w:r>
        <w:t>.</w:t>
      </w:r>
    </w:p>
    <w:p w14:paraId="294AAF04" w14:textId="3128EA0C" w:rsidR="00093CC6" w:rsidRDefault="00093CC6" w:rsidP="00093CC6"/>
    <w:p w14:paraId="09A78DAD" w14:textId="1B84C504" w:rsidR="00093CC6" w:rsidRDefault="00093CC6" w:rsidP="00093CC6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Crippa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M.,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Solazzo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E.,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Guizzardi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D.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 xml:space="preserve"> Food systems are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responsible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for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third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global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anthropogenic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GHG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emissions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 Food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2, </w:t>
      </w:r>
      <w:r>
        <w:rPr>
          <w:rFonts w:ascii="Segoe UI" w:hAnsi="Segoe UI" w:cs="Segoe UI"/>
          <w:color w:val="222222"/>
          <w:shd w:val="clear" w:color="auto" w:fill="FFFFFF"/>
        </w:rPr>
        <w:t xml:space="preserve">198–209 (2021). </w:t>
      </w:r>
      <w:hyperlink r:id="rId6" w:history="1">
        <w:r w:rsidR="008649A0" w:rsidRPr="00B7676C">
          <w:rPr>
            <w:rStyle w:val="Hyperlink"/>
            <w:rFonts w:ascii="Segoe UI" w:hAnsi="Segoe UI" w:cs="Segoe UI"/>
            <w:shd w:val="clear" w:color="auto" w:fill="FFFFFF"/>
          </w:rPr>
          <w:t>https://doi.org/10.1038/s43016-021-00225-9</w:t>
        </w:r>
      </w:hyperlink>
    </w:p>
    <w:p w14:paraId="4BC49F32" w14:textId="4F86ED10" w:rsidR="008649A0" w:rsidRDefault="008649A0" w:rsidP="00093CC6">
      <w:pPr>
        <w:rPr>
          <w:rFonts w:ascii="Segoe UI" w:hAnsi="Segoe UI" w:cs="Segoe UI"/>
          <w:color w:val="222222"/>
          <w:shd w:val="clear" w:color="auto" w:fill="FFFFFF"/>
        </w:rPr>
      </w:pPr>
    </w:p>
    <w:p w14:paraId="06416B03" w14:textId="16B310A8" w:rsidR="008649A0" w:rsidRDefault="008649A0" w:rsidP="00093CC6">
      <w:pPr>
        <w:rPr>
          <w:rFonts w:ascii="Segoe UI" w:hAnsi="Segoe UI" w:cs="Segoe UI"/>
          <w:color w:val="222222"/>
          <w:shd w:val="clear" w:color="auto" w:fill="FFFFFF"/>
        </w:rPr>
      </w:pPr>
    </w:p>
    <w:p w14:paraId="6E92CA34" w14:textId="750CD339" w:rsidR="008649A0" w:rsidRDefault="008649A0" w:rsidP="008649A0">
      <w:r>
        <w:t>Um dos gases de efeito estufa que empobrecem a estratosfera</w:t>
      </w:r>
      <w:r>
        <w:t xml:space="preserve"> </w:t>
      </w:r>
      <w:r>
        <w:t>camada de ozônio e o aquecimento global é o dióxido de carbono (CO2) (IPCC 2013) e apresenta como principal contribuinte para as mudanças climáticas (</w:t>
      </w:r>
      <w:proofErr w:type="spellStart"/>
      <w:r>
        <w:t>Conant</w:t>
      </w:r>
      <w:proofErr w:type="spellEnd"/>
      <w:r>
        <w:t xml:space="preserve"> et al. 2011).</w:t>
      </w:r>
    </w:p>
    <w:p w14:paraId="399A8E5B" w14:textId="77777777" w:rsidR="009D098B" w:rsidRDefault="009D098B" w:rsidP="009D098B">
      <w:proofErr w:type="spellStart"/>
      <w:r>
        <w:t>Conant</w:t>
      </w:r>
      <w:proofErr w:type="spellEnd"/>
      <w:r>
        <w:t xml:space="preserve"> R, </w:t>
      </w:r>
      <w:proofErr w:type="spellStart"/>
      <w:r>
        <w:t>Ogle</w:t>
      </w:r>
      <w:proofErr w:type="spellEnd"/>
      <w:r>
        <w:t xml:space="preserve"> S, Paul E, </w:t>
      </w:r>
      <w:proofErr w:type="spellStart"/>
      <w:r>
        <w:t>Paustian</w:t>
      </w:r>
      <w:proofErr w:type="spellEnd"/>
      <w:r>
        <w:t xml:space="preserve"> K (2011)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stocks in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lands</w:t>
      </w:r>
      <w:proofErr w:type="spellEnd"/>
      <w:r>
        <w:t xml:space="preserve"> for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. Front </w:t>
      </w:r>
      <w:proofErr w:type="spellStart"/>
      <w:r>
        <w:t>Ecol</w:t>
      </w:r>
      <w:proofErr w:type="spellEnd"/>
      <w:r>
        <w:t xml:space="preserve"> </w:t>
      </w:r>
      <w:proofErr w:type="spellStart"/>
      <w:r>
        <w:t>Environ</w:t>
      </w:r>
      <w:proofErr w:type="spellEnd"/>
      <w:r>
        <w:t xml:space="preserve"> 169–173. https:// </w:t>
      </w:r>
      <w:proofErr w:type="spellStart"/>
      <w:r>
        <w:t>doi</w:t>
      </w:r>
      <w:proofErr w:type="spellEnd"/>
      <w:r>
        <w:t xml:space="preserve">. </w:t>
      </w:r>
      <w:proofErr w:type="spellStart"/>
      <w:r>
        <w:t>org</w:t>
      </w:r>
      <w:proofErr w:type="spellEnd"/>
      <w:r>
        <w:t>/ 10. 1890/090153</w:t>
      </w:r>
    </w:p>
    <w:p w14:paraId="08101FC8" w14:textId="6D9FE8B0" w:rsidR="008649A0" w:rsidRDefault="008649A0" w:rsidP="008649A0"/>
    <w:p w14:paraId="3D7F2236" w14:textId="51503F64" w:rsidR="009D098B" w:rsidRDefault="008649A0" w:rsidP="008649A0">
      <w:r w:rsidRPr="008649A0">
        <w:lastRenderedPageBreak/>
        <w:t xml:space="preserve">De acordo com </w:t>
      </w:r>
      <w:proofErr w:type="spellStart"/>
      <w:r w:rsidRPr="008649A0">
        <w:t>Adachi</w:t>
      </w:r>
      <w:proofErr w:type="spellEnd"/>
      <w:r w:rsidRPr="008649A0">
        <w:t xml:space="preserve"> et al. (2017), alterações relativamente pequenas na taxa de respiração do solo alteram muito a quantidade de dióxido de carbono atmosférico e o valor do carbono orgânico no solo, intensificando ou desacelerando o aquecimento global.</w:t>
      </w:r>
    </w:p>
    <w:p w14:paraId="7E14D40D" w14:textId="77777777" w:rsidR="009D098B" w:rsidRDefault="009D098B" w:rsidP="009D098B">
      <w:proofErr w:type="spellStart"/>
      <w:r>
        <w:t>Adachi</w:t>
      </w:r>
      <w:proofErr w:type="spellEnd"/>
      <w:r>
        <w:t xml:space="preserve"> M, Ito A, </w:t>
      </w:r>
      <w:proofErr w:type="spellStart"/>
      <w:r>
        <w:t>Yonemura</w:t>
      </w:r>
      <w:proofErr w:type="spellEnd"/>
      <w:r>
        <w:t xml:space="preserve"> S, </w:t>
      </w:r>
      <w:proofErr w:type="spellStart"/>
      <w:r>
        <w:t>Takeuchi</w:t>
      </w:r>
      <w:proofErr w:type="spellEnd"/>
      <w:r>
        <w:t xml:space="preserve"> W (2017)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global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respiration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for </w:t>
      </w:r>
      <w:proofErr w:type="spellStart"/>
      <w:r>
        <w:t>land</w:t>
      </w:r>
      <w:proofErr w:type="spellEnd"/>
      <w:r>
        <w:t xml:space="preserve">-use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 data. J </w:t>
      </w:r>
      <w:proofErr w:type="spellStart"/>
      <w:r>
        <w:t>Environ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97–104. https:// </w:t>
      </w:r>
      <w:proofErr w:type="spellStart"/>
      <w:r>
        <w:t>doi</w:t>
      </w:r>
      <w:proofErr w:type="spellEnd"/>
      <w:r>
        <w:t xml:space="preserve">. </w:t>
      </w:r>
      <w:proofErr w:type="spellStart"/>
      <w:r>
        <w:t>org</w:t>
      </w:r>
      <w:proofErr w:type="spellEnd"/>
      <w:r>
        <w:t xml:space="preserve">/10. 1016/j. </w:t>
      </w:r>
      <w:proofErr w:type="spellStart"/>
      <w:r>
        <w:t>jenvm</w:t>
      </w:r>
      <w:proofErr w:type="spellEnd"/>
      <w:r>
        <w:t xml:space="preserve"> an. 2017. 05. 076</w:t>
      </w:r>
    </w:p>
    <w:p w14:paraId="43D2CD41" w14:textId="091904C4" w:rsidR="00670835" w:rsidRDefault="00670835" w:rsidP="008649A0"/>
    <w:p w14:paraId="1FD897FD" w14:textId="6584F2EA" w:rsidR="00670835" w:rsidRDefault="00670835" w:rsidP="008649A0">
      <w:r>
        <w:t>D</w:t>
      </w:r>
      <w:r w:rsidRPr="00670835">
        <w:t>iferentes métodos de inteligência artificial (com exceção do FIS) poderiam prever a respiração do solo usando dados de umidade e temperatura do solo e com maior eficiência em comparação aos modelos clássicos e reduzir significativamente o erro de medição.</w:t>
      </w:r>
    </w:p>
    <w:p w14:paraId="3867F4EB" w14:textId="072BA328" w:rsidR="00670835" w:rsidRDefault="00670835" w:rsidP="008649A0"/>
    <w:p w14:paraId="301EE975" w14:textId="154C1595" w:rsidR="00670835" w:rsidRDefault="00405254" w:rsidP="008649A0">
      <w:r w:rsidRPr="00405254">
        <w:t>Usando parâmetros estatísticos, verificou-se que o modelo do sistema de inferência neuro-</w:t>
      </w:r>
      <w:proofErr w:type="spellStart"/>
      <w:r w:rsidRPr="00405254">
        <w:t>fuzzy</w:t>
      </w:r>
      <w:proofErr w:type="spellEnd"/>
      <w:r w:rsidRPr="00405254">
        <w:t xml:space="preserve"> adotivo (ANFIS) foi mais eficiente que os demais. Além do alto desempenho, o tempo de execução do sistema de inferência neuro-</w:t>
      </w:r>
      <w:proofErr w:type="spellStart"/>
      <w:r w:rsidRPr="00405254">
        <w:t>fuzzy</w:t>
      </w:r>
      <w:proofErr w:type="spellEnd"/>
      <w:r w:rsidRPr="00405254">
        <w:t xml:space="preserve"> adotivo (ANFIS) foi menor que os demais modelos. Entre as propriedades físicas estudadas, o teor de umidade do solo foi um fator mais eficaz na respiração do solo.</w:t>
      </w:r>
    </w:p>
    <w:p w14:paraId="22E4B891" w14:textId="77777777" w:rsidR="00405254" w:rsidRDefault="00405254" w:rsidP="008649A0"/>
    <w:p w14:paraId="7276C207" w14:textId="3CA28397" w:rsidR="008649A0" w:rsidRDefault="008649A0" w:rsidP="008649A0">
      <w:pPr>
        <w:rPr>
          <w:rFonts w:ascii="Segoe UI" w:hAnsi="Segoe UI" w:cs="Segoe UI"/>
          <w:color w:val="333333"/>
          <w:shd w:val="clear" w:color="auto" w:fill="FCFCFC"/>
        </w:r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Hosseini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M.,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Bahrami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H.,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Khormali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F.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 xml:space="preserve"> Artificial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Intelligence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Statistical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Analysis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of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Soil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Respiration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Improves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Predictions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Compared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to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Regression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Methods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J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Soil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Sci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Plant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Nutr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21, </w:t>
      </w:r>
      <w:r>
        <w:rPr>
          <w:rFonts w:ascii="Segoe UI" w:hAnsi="Segoe UI" w:cs="Segoe UI"/>
          <w:color w:val="333333"/>
          <w:shd w:val="clear" w:color="auto" w:fill="FCFCFC"/>
        </w:rPr>
        <w:t xml:space="preserve">2242–2251 (2021). </w:t>
      </w:r>
      <w:hyperlink r:id="rId7" w:history="1">
        <w:r w:rsidRPr="00B7676C">
          <w:rPr>
            <w:rStyle w:val="Hyperlink"/>
            <w:rFonts w:ascii="Segoe UI" w:hAnsi="Segoe UI" w:cs="Segoe UI"/>
            <w:shd w:val="clear" w:color="auto" w:fill="FCFCFC"/>
          </w:rPr>
          <w:t>https://doi.org/10.1007/s42729-021-00517-w</w:t>
        </w:r>
      </w:hyperlink>
    </w:p>
    <w:p w14:paraId="0AD3553E" w14:textId="6879D70E" w:rsidR="008649A0" w:rsidRDefault="008649A0" w:rsidP="008649A0">
      <w:pPr>
        <w:rPr>
          <w:rFonts w:ascii="Segoe UI" w:hAnsi="Segoe UI" w:cs="Segoe UI"/>
          <w:color w:val="333333"/>
          <w:shd w:val="clear" w:color="auto" w:fill="FCFCFC"/>
        </w:rPr>
      </w:pPr>
    </w:p>
    <w:p w14:paraId="4E6E8C49" w14:textId="0208AA1C" w:rsidR="008649A0" w:rsidRDefault="008649A0" w:rsidP="008649A0"/>
    <w:p w14:paraId="43ACFA32" w14:textId="5E071D90" w:rsidR="008649A0" w:rsidRDefault="008649A0" w:rsidP="008649A0"/>
    <w:p w14:paraId="52060F81" w14:textId="77777777" w:rsidR="008649A0" w:rsidRPr="0088344B" w:rsidRDefault="008649A0" w:rsidP="008649A0"/>
    <w:sectPr w:rsidR="008649A0" w:rsidRPr="0088344B" w:rsidSect="00191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4B"/>
    <w:rsid w:val="00093CC6"/>
    <w:rsid w:val="00191B73"/>
    <w:rsid w:val="00405254"/>
    <w:rsid w:val="004E1ABA"/>
    <w:rsid w:val="00670835"/>
    <w:rsid w:val="007D2AFF"/>
    <w:rsid w:val="008649A0"/>
    <w:rsid w:val="0088344B"/>
    <w:rsid w:val="009D098B"/>
    <w:rsid w:val="00D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515E"/>
  <w15:chartTrackingRefBased/>
  <w15:docId w15:val="{484CD144-2E71-42AF-9A9C-3ECCDB29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3C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3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42729-021-00517-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3016-021-00225-9" TargetMode="External"/><Relationship Id="rId5" Type="http://schemas.openxmlformats.org/officeDocument/2006/relationships/hyperlink" Target="https://doi.org/10.3390/agronomy1201019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</dc:creator>
  <cp:keywords/>
  <dc:description/>
  <cp:lastModifiedBy>Letícia</cp:lastModifiedBy>
  <cp:revision>4</cp:revision>
  <dcterms:created xsi:type="dcterms:W3CDTF">2022-03-14T16:59:00Z</dcterms:created>
  <dcterms:modified xsi:type="dcterms:W3CDTF">2022-03-14T18:50:00Z</dcterms:modified>
</cp:coreProperties>
</file>