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8280"/>
      </w:tblGrid>
      <w:tr>
        <w:tc>
          <w:tcPr>
            <w:tcW w:type="dxa" w:w="5083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AIROS_Industrial_AI_Isotip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</w:tcPr>
          <w:p>
            <w:r/>
            <w:r>
              <w:rPr>
                <w:b/>
                <w:color w:val="081D16"/>
                <w:sz w:val="38"/>
              </w:rPr>
              <w:t>VITAIROS  INDUSTRIAL AI</w:t>
            </w:r>
          </w:p>
          <w:p>
            <w:r>
              <w:rPr>
                <w:color w:val="647174"/>
                <w:sz w:val="18"/>
              </w:rPr>
              <w:t>GUÍA VISUAL DE REFERENCIA · MVP ACADÉMICO DSY1105</w:t>
            </w:r>
          </w:p>
        </w:tc>
      </w:tr>
    </w:tbl>
    <w:p>
      <w:r>
        <w:t>Identidad derivada del sitio de VITAIROS Industrial AI. Uso autorizado únicamente como referencia de diseño para las maquetas del curso; no constituye un manual corporativo integral.</w:t>
      </w:r>
    </w:p>
    <w:p>
      <w:pPr>
        <w:spacing w:before="140" w:after="80"/>
      </w:pPr>
      <w:r>
        <w:rPr>
          <w:b/>
          <w:color w:val="081D16"/>
          <w:sz w:val="22"/>
        </w:rPr>
        <w:t>01  Paleta de color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81D16"/>
          </w:tcPr>
          <w:p>
            <w:r/>
            <w:r>
              <w:rPr>
                <w:b/>
                <w:color w:val="FFFFFF"/>
                <w:sz w:val="16"/>
              </w:rPr>
              <w:t>Verde noche</w:t>
              <w:br/>
              <w:t>#081D16</w:t>
            </w:r>
          </w:p>
        </w:tc>
        <w:tc>
          <w:tcPr>
            <w:tcW w:type="dxa" w:w="2541"/>
            <w:shd w:fill="102B23"/>
          </w:tcPr>
          <w:p>
            <w:r/>
            <w:r>
              <w:rPr>
                <w:b/>
                <w:color w:val="FFFFFF"/>
                <w:sz w:val="16"/>
              </w:rPr>
              <w:t>Verde profundo</w:t>
              <w:br/>
              <w:t>#102B23</w:t>
            </w:r>
          </w:p>
        </w:tc>
        <w:tc>
          <w:tcPr>
            <w:tcW w:type="dxa" w:w="2541"/>
            <w:shd w:fill="1B342D"/>
          </w:tcPr>
          <w:p>
            <w:r/>
            <w:r>
              <w:rPr>
                <w:b/>
                <w:color w:val="FFFFFF"/>
                <w:sz w:val="16"/>
              </w:rPr>
              <w:t>Verde mineral</w:t>
              <w:br/>
              <w:t>#1B342D</w:t>
            </w:r>
          </w:p>
        </w:tc>
        <w:tc>
          <w:tcPr>
            <w:tcW w:type="dxa" w:w="2541"/>
            <w:shd w:fill="FBF7F1"/>
          </w:tcPr>
          <w:p>
            <w:r/>
            <w:r>
              <w:rPr>
                <w:b/>
                <w:color w:val="14201A"/>
                <w:sz w:val="16"/>
              </w:rPr>
              <w:t>Hueso</w:t>
              <w:br/>
              <w:t>#FBF7F1</w:t>
            </w:r>
          </w:p>
        </w:tc>
      </w:tr>
      <w:tr>
        <w:tc>
          <w:tcPr>
            <w:tcW w:type="dxa" w:w="2541"/>
            <w:shd w:fill="E8EFE9"/>
          </w:tcPr>
          <w:p>
            <w:r/>
            <w:r>
              <w:rPr>
                <w:b/>
                <w:color w:val="14201A"/>
                <w:sz w:val="16"/>
              </w:rPr>
              <w:t>Niebla</w:t>
              <w:br/>
              <w:t>#E8EFE9</w:t>
            </w:r>
          </w:p>
        </w:tc>
        <w:tc>
          <w:tcPr>
            <w:tcW w:type="dxa" w:w="2541"/>
            <w:shd w:fill="DD7A52"/>
          </w:tcPr>
          <w:p>
            <w:r/>
            <w:r>
              <w:rPr>
                <w:b/>
                <w:color w:val="FFFFFF"/>
                <w:sz w:val="16"/>
              </w:rPr>
              <w:t>Cobre</w:t>
              <w:br/>
              <w:t>#DD7A52</w:t>
            </w:r>
          </w:p>
        </w:tc>
        <w:tc>
          <w:tcPr>
            <w:tcW w:type="dxa" w:w="2541"/>
            <w:shd w:fill="D9B46C"/>
          </w:tcPr>
          <w:p>
            <w:r/>
            <w:r>
              <w:rPr>
                <w:b/>
                <w:color w:val="14201A"/>
                <w:sz w:val="16"/>
              </w:rPr>
              <w:t>Oro</w:t>
              <w:br/>
              <w:t>#D9B46C</w:t>
            </w:r>
          </w:p>
        </w:tc>
        <w:tc>
          <w:tcPr>
            <w:tcW w:type="dxa" w:w="2541"/>
            <w:shd w:fill="AAB6B7"/>
          </w:tcPr>
          <w:p>
            <w:r/>
            <w:r>
              <w:rPr>
                <w:b/>
                <w:color w:val="14201A"/>
                <w:sz w:val="16"/>
              </w:rPr>
              <w:t>Acero</w:t>
              <w:br/>
              <w:t>#AAB6B7</w:t>
            </w:r>
          </w:p>
        </w:tc>
      </w:tr>
    </w:tbl>
    <w:p>
      <w:pPr>
        <w:spacing w:before="140" w:after="80"/>
      </w:pPr>
      <w:r>
        <w:rPr>
          <w:b/>
          <w:color w:val="081D16"/>
          <w:sz w:val="22"/>
        </w:rPr>
        <w:t>02  Tipografía</w:t>
      </w:r>
    </w:p>
    <w:p>
      <w:r>
        <w:rPr>
          <w:b/>
        </w:rPr>
        <w:t xml:space="preserve">Titulares: </w:t>
      </w:r>
      <w:r>
        <w:t xml:space="preserve">Space Grotesk (500–700).  </w:t>
      </w:r>
      <w:r>
        <w:rPr>
          <w:b/>
        </w:rPr>
        <w:t xml:space="preserve">Textos editoriales: </w:t>
      </w:r>
      <w:r>
        <w:t xml:space="preserve">Source Serif 4.  </w:t>
      </w:r>
      <w:r>
        <w:rPr>
          <w:b/>
        </w:rPr>
        <w:t xml:space="preserve">Etiquetas técnicas: </w:t>
      </w:r>
      <w:r>
        <w:t>IBM Plex Mono.</w:t>
      </w:r>
    </w:p>
    <w:p>
      <w:r>
        <w:t>Para formularios Android, utilizar Roboto o tipografía nativa legible cuando sea más conveniente. No sacrificar legibilidad por reproducir tipografía web.</w:t>
      </w:r>
    </w:p>
    <w:p>
      <w:pPr>
        <w:spacing w:before="140" w:after="80"/>
      </w:pPr>
      <w:r>
        <w:rPr>
          <w:b/>
          <w:color w:val="081D16"/>
          <w:sz w:val="22"/>
        </w:rPr>
        <w:t>03  Identificación gráfica y composición</w:t>
      </w:r>
    </w:p>
    <w:p>
      <w:r>
        <w:t>Isotipo mineral geométrico con trazos de circuito y punto cobrizo; acompañado de la denominación «VITAIROS Industrial AI». Mantener proporción, espacio libre y contraste. Preferir fondo verde noche para el isotipo de trazos claros; evitar distorsiones, sombras excesivas o recolorearlo arbitrariamente.</w:t>
      </w:r>
    </w:p>
    <w:p>
      <w:pPr>
        <w:spacing w:before="140" w:after="80"/>
      </w:pPr>
      <w:r>
        <w:rPr>
          <w:b/>
          <w:color w:val="081D16"/>
          <w:sz w:val="22"/>
        </w:rPr>
        <w:t>04  Interfaz móvil: orientación práctica</w:t>
      </w:r>
    </w:p>
    <w:p>
      <w:pPr>
        <w:pStyle w:val="ListBullet"/>
      </w:pPr>
      <w:r>
        <w:t>Jerarquía visual: pantallas simples, títulos breves, campos claramente rotulados y botones de acción visibles.</w:t>
      </w:r>
    </w:p>
    <w:p>
      <w:pPr>
        <w:pStyle w:val="ListBullet"/>
      </w:pPr>
      <w:r>
        <w:t>Base visual: superficies claras (hueso/niebla) o oscuras (verde noche/mineral), con cobre y oro como acentos.</w:t>
      </w:r>
    </w:p>
    <w:p>
      <w:pPr>
        <w:pStyle w:val="ListBullet"/>
      </w:pPr>
      <w:r>
        <w:t>Estados: distinguir Borrador, En cola, Enviando, Sincronizado y Error mediante texto e iconografía; nunca solo por color.</w:t>
      </w:r>
    </w:p>
    <w:p>
      <w:pPr>
        <w:pStyle w:val="ListBullet"/>
      </w:pPr>
      <w:r>
        <w:t>Operación en terreno: tamaño táctil cómodo, lectura en vertical, poco ruido visual y confirmaciones comprensibles.</w:t>
      </w:r>
    </w:p>
    <w:p>
      <w:pPr>
        <w:pStyle w:val="ListBullet"/>
      </w:pPr>
      <w:r>
        <w:t>Procesamiento de datos: identificar claramente cualquier extracción mediante mock como «Simulación».</w:t>
      </w:r>
    </w:p>
    <w:p>
      <w:pPr>
        <w:spacing w:before="140" w:after="80"/>
      </w:pPr>
      <w:r>
        <w:rPr>
          <w:b/>
          <w:color w:val="081D16"/>
          <w:sz w:val="22"/>
        </w:rPr>
        <w:t>05  Recursos y límites de uso</w:t>
      </w:r>
    </w:p>
    <w:p>
      <w:r>
        <w:t>Archivos anexos: logo horizontal PNG e isotipo PNG/SVG. Material de referencia académico, basado en el código de la página Industrial AI entregado por VITAIROS. No modificar el símbolo ni presentarlo como certificación o producto validado industrialmente.</w:t>
      </w:r>
    </w:p>
    <w:p>
      <w:pPr>
        <w:spacing w:before="80"/>
      </w:pPr>
      <w:r>
        <w:rPr>
          <w:i/>
          <w:color w:val="647174"/>
          <w:sz w:val="16"/>
        </w:rPr>
        <w:t>Sitio de referencia: https://www.vitairos.com/vitairos-industrial-ai/  ·  VITAIROS SpA · Octubre 2026</w:t>
      </w:r>
    </w:p>
    <w:sectPr w:rsidR="00FC693F" w:rsidRPr="0006063C" w:rsidSect="00034616">
      <w:pgSz w:w="12240" w:h="15840"/>
      <w:pgMar w:top="821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420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