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Title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706469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9340" w:history="1">
            <w:r w:rsidR="00706469" w:rsidRPr="00E212AA">
              <w:rPr>
                <w:rStyle w:val="Hyperlink"/>
                <w:noProof/>
              </w:rPr>
              <w:t>1.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Bevezetés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_Toc496279340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1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1" w:history="1">
            <w:r w:rsidR="00706469" w:rsidRPr="00E212AA">
              <w:rPr>
                <w:rStyle w:val="Hyperlink"/>
                <w:noProof/>
              </w:rPr>
              <w:t>2.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Lefoglalt szavak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_Toc496279341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2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2" w:history="1">
            <w:r w:rsidR="00706469" w:rsidRPr="00E212AA">
              <w:rPr>
                <w:rStyle w:val="Hyperlink"/>
                <w:noProof/>
              </w:rPr>
              <w:t>3.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Változóhasználat, típusok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_Toc496279342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3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3" w:history="1">
            <w:r w:rsidR="00706469" w:rsidRPr="00E212AA">
              <w:rPr>
                <w:rStyle w:val="Hyperlink"/>
                <w:noProof/>
              </w:rPr>
              <w:t>4.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Típuskonverziók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_Toc496279343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5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4" w:history="1">
            <w:r w:rsidR="00706469" w:rsidRPr="00E212AA">
              <w:rPr>
                <w:rStyle w:val="Hyperlink"/>
                <w:noProof/>
              </w:rPr>
              <w:t>5.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Operátorok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_Toc496279344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6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5" w:history="1">
            <w:r w:rsidR="00706469" w:rsidRPr="00E212AA">
              <w:rPr>
                <w:rStyle w:val="Hyperlink"/>
                <w:noProof/>
              </w:rPr>
              <w:t>6.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Kommentezés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_Toc496279345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7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6" w:history="1">
            <w:r w:rsidR="00706469" w:rsidRPr="00E212AA">
              <w:rPr>
                <w:rStyle w:val="Hyperlink"/>
                <w:noProof/>
              </w:rPr>
              <w:t>7.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Vezérlési szerkezetek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_Toc496279346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7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7" w:history="1">
            <w:r w:rsidR="00706469" w:rsidRPr="00E212AA">
              <w:rPr>
                <w:rStyle w:val="Hyperlink"/>
                <w:noProof/>
              </w:rPr>
              <w:t>8.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I/O kezelés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_Toc496279347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8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8" w:history="1">
            <w:r w:rsidR="00706469" w:rsidRPr="00E212AA">
              <w:rPr>
                <w:rStyle w:val="Hyperlink"/>
                <w:noProof/>
              </w:rPr>
              <w:t>9.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Tömbkezelés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_Toc496279348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9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3B306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9" w:history="1">
            <w:r w:rsidR="00706469" w:rsidRPr="00E212AA">
              <w:rPr>
                <w:rStyle w:val="Hyperlink"/>
                <w:noProof/>
              </w:rPr>
              <w:t>10.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Nyelvtan definíció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_Toc496279349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10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0" w:name="_Toc496279340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96279341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706469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</w:p>
    <w:p w:rsidR="0041706A" w:rsidRDefault="00B20D1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B44915" w:rsidRDefault="00B7493B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544E50" w:rsidRDefault="00417F5D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</w:p>
    <w:p w:rsidR="007C0983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beolvas: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</w:p>
    <w:p w:rsidR="00D520CD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yperlink"/>
            <w:noProof/>
          </w:rPr>
          <w:t>Operátorok</w:t>
        </w:r>
      </w:hyperlink>
      <w:r>
        <w:rPr>
          <w:noProof/>
        </w:rPr>
        <w:t xml:space="preserve"> fejezet.</w:t>
      </w:r>
      <w:bookmarkStart w:id="3" w:name="_Változóhasználat"/>
      <w:bookmarkStart w:id="4" w:name="_Változóhasználat_1"/>
      <w:bookmarkEnd w:id="3"/>
      <w:bookmarkEnd w:id="4"/>
      <w:r w:rsidR="00706469">
        <w:br w:type="page"/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5" w:name="_Toc496279342"/>
      <w:r>
        <w:lastRenderedPageBreak/>
        <w:t>Változóhasználat</w:t>
      </w:r>
      <w:r w:rsidR="005A0780">
        <w:t>, típusok</w:t>
      </w:r>
      <w:bookmarkEnd w:id="5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yperlink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  <w:r w:rsidR="00551B23">
        <w:rPr>
          <w:i/>
        </w:rPr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lastRenderedPageBreak/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6" w:name="_Toc496279343"/>
      <w:r>
        <w:lastRenderedPageBreak/>
        <w:t>Típuskonverziók</w:t>
      </w:r>
      <w:bookmarkEnd w:id="6"/>
    </w:p>
    <w:p w:rsidR="003A724C" w:rsidRDefault="003A724C" w:rsidP="00FF341C">
      <w:pPr>
        <w:spacing w:after="160" w:line="276" w:lineRule="auto"/>
      </w:pPr>
      <w:r>
        <w:t xml:space="preserve">A nyelv erősen típusos. Értékadás esetén </w:t>
      </w:r>
      <w:r w:rsidR="00362FEA">
        <w:t>implicit</w:t>
      </w:r>
      <w:r>
        <w:t xml:space="preserve"> típuskonverz</w:t>
      </w:r>
      <w:r w:rsidR="009855F7">
        <w:t xml:space="preserve">ió </w:t>
      </w:r>
      <w:r w:rsidR="002B6387">
        <w:t>nincs</w:t>
      </w:r>
      <w:r w:rsidR="009855F7">
        <w:t>.</w:t>
      </w:r>
    </w:p>
    <w:p w:rsidR="00EE2A53" w:rsidRPr="00EE2A53" w:rsidRDefault="00EE2A53" w:rsidP="00FF341C">
      <w:pPr>
        <w:spacing w:after="160" w:line="276" w:lineRule="auto"/>
        <w:rPr>
          <w:b/>
        </w:rPr>
      </w:pPr>
      <w:bookmarkStart w:id="7" w:name="_GoBack"/>
      <w:bookmarkEnd w:id="7"/>
      <w:r>
        <w:rPr>
          <w:b/>
        </w:rPr>
        <w:t>Explicit konverziók:</w:t>
      </w:r>
    </w:p>
    <w:p w:rsidR="000E6399" w:rsidRDefault="000E6399" w:rsidP="00FF341C">
      <w:pPr>
        <w:spacing w:after="160" w:line="276" w:lineRule="auto"/>
      </w:pPr>
      <w:r>
        <w:t>A konverzió elvégezhető a beépített konverziós függvények használatá</w:t>
      </w:r>
      <w:r w:rsidR="00D77AA4">
        <w:t>val is, ezeket mutatja be a következő táblázat: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40"/>
        <w:gridCol w:w="2080"/>
        <w:gridCol w:w="1926"/>
        <w:gridCol w:w="2044"/>
        <w:gridCol w:w="1134"/>
      </w:tblGrid>
      <w:tr w:rsidR="00D77AA4" w:rsidRPr="00D77AA4" w:rsidTr="001E51D9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Forrás ↓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</w:tr>
      <w:tr w:rsidR="00D77AA4" w:rsidRPr="00D77AA4" w:rsidTr="001E51D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Cél →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egészből_logikaiba()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630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</w:tr>
    </w:tbl>
    <w:p w:rsidR="000E6399" w:rsidRDefault="000E6399" w:rsidP="00FF341C">
      <w:pPr>
        <w:spacing w:after="160" w:line="276" w:lineRule="auto"/>
      </w:pPr>
    </w:p>
    <w:p w:rsidR="00A35D8B" w:rsidRDefault="00A35D8B" w:rsidP="00FF341C">
      <w:pPr>
        <w:spacing w:after="160" w:line="276" w:lineRule="auto"/>
        <w:rPr>
          <w:b/>
        </w:rPr>
      </w:pPr>
      <w:r>
        <w:rPr>
          <w:b/>
        </w:rPr>
        <w:t>Példa implicit konverzióra: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a = 3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b = a</w:t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  <w:t>//b értéke 3,0 lesz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explicit</w:t>
      </w:r>
      <w:r w:rsidRPr="00A35D8B">
        <w:rPr>
          <w:b/>
        </w:rPr>
        <w:t xml:space="preserve"> </w:t>
      </w:r>
      <w:r w:rsidR="003E28B4">
        <w:rPr>
          <w:b/>
        </w:rPr>
        <w:t>konverzióra (konverziós függvény használ</w:t>
      </w:r>
      <w:r w:rsidR="002D74BC">
        <w:rPr>
          <w:b/>
        </w:rPr>
        <w:t>a</w:t>
      </w:r>
      <w:r w:rsidR="003E28B4">
        <w:rPr>
          <w:b/>
        </w:rPr>
        <w:t>tára)</w:t>
      </w:r>
      <w:r w:rsidRPr="00A35D8B">
        <w:rPr>
          <w:b/>
        </w:rPr>
        <w:t>:</w:t>
      </w:r>
    </w:p>
    <w:p w:rsidR="00560537" w:rsidRDefault="001E51D9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x = 5,4</w:t>
      </w:r>
    </w:p>
    <w:p w:rsidR="007D3D05" w:rsidRDefault="00560537" w:rsidP="00FF341C">
      <w:pPr>
        <w:pStyle w:val="Kdrszlet"/>
        <w:spacing w:line="276" w:lineRule="auto"/>
      </w:pPr>
      <w:r>
        <w:rPr>
          <w:noProof/>
        </w:rPr>
        <w:t>egész y = törtből_egészbe(x)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7D3D05" w:rsidRDefault="007D3D05" w:rsidP="00FF341C">
      <w:pPr>
        <w:pStyle w:val="Kdrszlet"/>
        <w:spacing w:line="276" w:lineRule="auto"/>
      </w:pPr>
    </w:p>
    <w:p w:rsidR="009C7E40" w:rsidRPr="009C7E40" w:rsidRDefault="009C7E40" w:rsidP="00FF341C">
      <w:pPr>
        <w:pStyle w:val="Kdrszlet"/>
        <w:spacing w:after="240" w:line="276" w:lineRule="auto"/>
        <w:rPr>
          <w:rFonts w:asciiTheme="minorHAnsi" w:hAnsiTheme="minorHAnsi" w:cstheme="minorHAnsi"/>
          <w:b/>
        </w:rPr>
      </w:pPr>
      <w:r w:rsidRPr="009C7E40">
        <w:rPr>
          <w:rFonts w:asciiTheme="minorHAnsi" w:hAnsiTheme="minorHAnsi" w:cstheme="minorHAnsi"/>
          <w:b/>
        </w:rPr>
        <w:t>Típuskonverziós függvények: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egészből_logikaiba():</w:t>
      </w:r>
      <w:r>
        <w:t xml:space="preserve"> 0 bemenet esetén hamis a visszaadott érték, egyébként igaz.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törtből_egészbe():</w:t>
      </w:r>
      <w:r>
        <w:rPr>
          <w:noProof/>
        </w:rPr>
        <w:t xml:space="preserve"> </w:t>
      </w:r>
      <w:r>
        <w:t>a kimenet a bemeneti szám lefelé, egészre kerekítve.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törtből_logikaiba():</w:t>
      </w:r>
      <w:r>
        <w:rPr>
          <w:noProof/>
        </w:rPr>
        <w:t xml:space="preserve"> 0,0</w:t>
      </w:r>
      <w:r>
        <w:t xml:space="preserve"> bemenet esetén hamis a visszaadott érték, egyébként igaz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logikaiból_egészbe():</w:t>
      </w:r>
      <w:r>
        <w:rPr>
          <w:noProof/>
        </w:rPr>
        <w:t xml:space="preserve"> </w:t>
      </w:r>
      <w:r>
        <w:t>hamis bemenet esetén 0 a kimenet, igaz bemenet esetén 1.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noProof/>
        </w:rPr>
      </w:pPr>
      <w:r w:rsidRPr="00122AF0">
        <w:rPr>
          <w:rFonts w:ascii="Cambria Math" w:hAnsi="Cambria Math"/>
          <w:b/>
          <w:noProof/>
        </w:rPr>
        <w:t>logikaiból_törtbe():</w:t>
      </w:r>
      <w:r>
        <w:rPr>
          <w:noProof/>
        </w:rPr>
        <w:t xml:space="preserve"> hamis bemenet esetén 0,0 a kimenet, igaz bemenet esetén 1,0.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szövegből_egészbe():</w:t>
      </w:r>
      <w:r>
        <w:rPr>
          <w:noProof/>
        </w:rPr>
        <w:t xml:space="preserve"> </w:t>
      </w:r>
      <w:r>
        <w:t>megadja a szöveg egészbeli reprezentációját dec</w:t>
      </w:r>
      <w:r w:rsidR="00203FAB">
        <w:t>imális formában. A szám előtt a negatív</w:t>
      </w:r>
      <w:r>
        <w:t xml:space="preserve"> előjelet jelezheti a kötőjel (-) karakter.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lastRenderedPageBreak/>
        <w:t>szövegből_törtbe():</w:t>
      </w:r>
      <w:r>
        <w:rPr>
          <w:noProof/>
        </w:rPr>
        <w:t xml:space="preserve"> </w:t>
      </w:r>
      <w:r>
        <w:t>megadja a szöveg törtbeli reprezentációját deci</w:t>
      </w:r>
      <w:r w:rsidR="00AD1261">
        <w:t xml:space="preserve">mális formában. A szám előtt a negatív </w:t>
      </w:r>
      <w:r>
        <w:t>előjelet jelezheti a kötőjel (-) karakter. Az egész és tizedes jegyek elkülönítésére a vessző karaktert (,) használja.</w:t>
      </w:r>
    </w:p>
    <w:p w:rsidR="00706469" w:rsidRDefault="009C7E40" w:rsidP="00183740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706469">
        <w:rPr>
          <w:rFonts w:ascii="Cambria Math" w:hAnsi="Cambria Math"/>
          <w:b/>
          <w:noProof/>
        </w:rPr>
        <w:t>szövegből_logikaiba():</w:t>
      </w:r>
      <w:r>
        <w:rPr>
          <w:noProof/>
        </w:rPr>
        <w:t xml:space="preserve"> </w:t>
      </w:r>
      <w:r>
        <w:t>megadja a szöveg logikai reprezentációját:</w:t>
      </w:r>
      <w:r>
        <w:br/>
        <w:t>”hamis” → hamis</w:t>
      </w:r>
      <w:r>
        <w:br/>
        <w:t>”igaz” → igaz</w:t>
      </w:r>
      <w:r>
        <w:br/>
        <w:t xml:space="preserve">A függvény </w:t>
      </w:r>
      <w:r w:rsidRPr="00706469">
        <w:rPr>
          <w:b/>
        </w:rPr>
        <w:t>nem</w:t>
      </w:r>
      <w:r>
        <w:t xml:space="preserve"> </w:t>
      </w:r>
      <w:r w:rsidRPr="00100CB4">
        <w:t>kisbetű</w:t>
      </w:r>
      <w:r>
        <w:t xml:space="preserve">-nagybetű érzékeny, azaz pl. </w:t>
      </w:r>
      <w:r>
        <w:rPr>
          <w:noProof/>
        </w:rPr>
        <w:t>”hAmiS”</w:t>
      </w:r>
      <w:r>
        <w:t xml:space="preserve"> bemeneti szövegre is hamis a kimenet.</w:t>
      </w:r>
      <w:r>
        <w:br/>
        <w:t>Helytelen bemenet esetén futásidejű hiba keletkezik.</w:t>
      </w:r>
      <w:r w:rsidR="00706469">
        <w:br w:type="page"/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8" w:name="_Operátorok"/>
      <w:bookmarkEnd w:id="8"/>
      <w:r>
        <w:lastRenderedPageBreak/>
        <w:t xml:space="preserve"> </w:t>
      </w:r>
      <w:r>
        <w:tab/>
      </w:r>
      <w:bookmarkStart w:id="9" w:name="_Toc496279344"/>
      <w:r w:rsidR="005755DA">
        <w:t>Operátorok</w:t>
      </w:r>
      <w:bookmarkEnd w:id="9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7474B0" w:rsidRDefault="00FD1839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&gt; 3 </w:t>
            </w:r>
            <w:r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&lt; 4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!= 9 </w:t>
            </w:r>
            <w:r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&gt; s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lastRenderedPageBreak/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0" w:name="_Toc496279345"/>
      <w:r>
        <w:t>Kommente</w:t>
      </w:r>
      <w:r w:rsidR="00316BDB">
        <w:t>z</w:t>
      </w:r>
      <w: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96279346"/>
      <w:r>
        <w:lastRenderedPageBreak/>
        <w:t>Vezérlési szerkezetek</w:t>
      </w:r>
      <w:bookmarkEnd w:id="11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96279347"/>
      <w:r>
        <w:br w:type="page"/>
      </w: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Start w:id="14" w:name="_Toc496279348"/>
      <w:bookmarkEnd w:id="13"/>
      <w:r w:rsidR="00706469">
        <w:br w:type="page"/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706469">
        <w:rPr>
          <w:rFonts w:ascii="Cambria Math" w:hAnsi="Cambria Math"/>
          <w:noProof/>
        </w:rPr>
        <w:t>tö</w:t>
      </w:r>
      <w:r w:rsidR="008D2DCD" w:rsidRPr="003939F8">
        <w:rPr>
          <w:rFonts w:ascii="Cambria Math" w:hAnsi="Cambria Math"/>
          <w:noProof/>
        </w:rPr>
        <w:t>mb = l</w:t>
      </w:r>
      <w:r w:rsidR="00DC0ED0">
        <w:rPr>
          <w:rFonts w:ascii="Cambria Math" w:hAnsi="Cambria Math"/>
          <w:noProof/>
        </w:rPr>
        <w:t>étrehoz</w:t>
      </w:r>
      <w:r w:rsidRPr="003939F8">
        <w:rPr>
          <w:rFonts w:ascii="Cambria Math" w:hAnsi="Cambria Math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Toc496279349"/>
      <w:r>
        <w:rPr>
          <w:noProof/>
        </w:rPr>
        <w:lastRenderedPageBreak/>
        <w:t>Nyelvtan definíció</w:t>
      </w:r>
      <w:bookmarkEnd w:id="17"/>
    </w:p>
    <w:p w:rsidR="0090405C" w:rsidRPr="00F60443" w:rsidRDefault="006A4C98" w:rsidP="0090405C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Itt található a nyelvtan definíciója BNF-ben (Backus-Naur Forma).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5297B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5297B">
        <w:rPr>
          <w:rFonts w:ascii="Consolas" w:hAnsi="Consolas"/>
          <w:b/>
          <w:noProof/>
          <w:sz w:val="20"/>
          <w:szCs w:val="20"/>
        </w:rPr>
        <w:t>&lt;P</w:t>
      </w:r>
      <w:r w:rsidR="0050766A" w:rsidRPr="0055297B">
        <w:rPr>
          <w:rFonts w:ascii="Consolas" w:hAnsi="Consolas"/>
          <w:b/>
          <w:noProof/>
          <w:sz w:val="20"/>
          <w:szCs w:val="20"/>
        </w:rPr>
        <w:t>rogram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>
        <w:rPr>
          <w:rFonts w:ascii="Consolas" w:hAnsi="Consolas"/>
          <w:b/>
          <w:i/>
          <w:noProof/>
          <w:sz w:val="20"/>
          <w:szCs w:val="20"/>
        </w:rPr>
        <w:t xml:space="preserve"> </w:t>
      </w:r>
      <w:r w:rsidR="0050766A">
        <w:rPr>
          <w:rFonts w:ascii="Consolas" w:hAnsi="Consolas"/>
          <w:noProof/>
          <w:sz w:val="20"/>
          <w:szCs w:val="20"/>
        </w:rPr>
        <w:t>:</w:t>
      </w:r>
      <w:r>
        <w:rPr>
          <w:rFonts w:ascii="Consolas" w:hAnsi="Consolas"/>
          <w:noProof/>
          <w:sz w:val="20"/>
          <w:szCs w:val="20"/>
        </w:rPr>
        <w:t>:=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>
        <w:rPr>
          <w:rFonts w:ascii="Consolas" w:hAnsi="Consolas"/>
          <w:noProof/>
          <w:sz w:val="20"/>
          <w:szCs w:val="20"/>
        </w:rPr>
        <w:t>”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9E1105">
        <w:rPr>
          <w:rFonts w:ascii="Consolas" w:hAnsi="Consolas"/>
          <w:noProof/>
          <w:sz w:val="20"/>
          <w:szCs w:val="20"/>
        </w:rPr>
        <w:t>újsor</w:t>
      </w:r>
      <w:r>
        <w:rPr>
          <w:rFonts w:ascii="Consolas" w:hAnsi="Consolas"/>
          <w:noProof/>
          <w:sz w:val="20"/>
          <w:szCs w:val="20"/>
        </w:rPr>
        <w:t>”</w:t>
      </w:r>
      <w:r w:rsidR="009E1105">
        <w:rPr>
          <w:rFonts w:ascii="Consolas" w:hAnsi="Consolas"/>
          <w:noProof/>
          <w:sz w:val="20"/>
          <w:szCs w:val="20"/>
        </w:rPr>
        <w:t xml:space="preserve"> </w:t>
      </w:r>
      <w:r w:rsidRPr="0055297B">
        <w:rPr>
          <w:rFonts w:ascii="Consolas" w:hAnsi="Consolas"/>
          <w:b/>
          <w:noProof/>
          <w:sz w:val="20"/>
          <w:szCs w:val="20"/>
        </w:rPr>
        <w:t>&lt;U</w:t>
      </w:r>
      <w:r w:rsidR="00016A2B" w:rsidRPr="0055297B">
        <w:rPr>
          <w:rFonts w:ascii="Consolas" w:hAnsi="Consolas"/>
          <w:b/>
          <w:noProof/>
          <w:sz w:val="20"/>
          <w:szCs w:val="20"/>
        </w:rPr>
        <w:t>tasítások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D43F58">
        <w:rPr>
          <w:rFonts w:ascii="Consolas" w:hAnsi="Consolas"/>
          <w:noProof/>
          <w:sz w:val="20"/>
          <w:szCs w:val="20"/>
        </w:rPr>
        <w:t>program_vége</w:t>
      </w:r>
      <w:r>
        <w:rPr>
          <w:rFonts w:ascii="Consolas" w:hAnsi="Consolas"/>
          <w:noProof/>
          <w:sz w:val="20"/>
          <w:szCs w:val="20"/>
        </w:rPr>
        <w:t>”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069" w:rsidRDefault="003B3069" w:rsidP="00576D51">
      <w:pPr>
        <w:spacing w:after="0" w:line="240" w:lineRule="auto"/>
      </w:pPr>
      <w:r>
        <w:separator/>
      </w:r>
    </w:p>
  </w:endnote>
  <w:endnote w:type="continuationSeparator" w:id="0">
    <w:p w:rsidR="003B3069" w:rsidRDefault="003B3069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069" w:rsidRDefault="003B3069" w:rsidP="00576D51">
      <w:pPr>
        <w:spacing w:after="0" w:line="240" w:lineRule="auto"/>
      </w:pPr>
      <w:r>
        <w:separator/>
      </w:r>
    </w:p>
  </w:footnote>
  <w:footnote w:type="continuationSeparator" w:id="0">
    <w:p w:rsidR="003B3069" w:rsidRDefault="003B3069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60FC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B6387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069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A4C98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C6C73"/>
    <w:rsid w:val="008D268F"/>
    <w:rsid w:val="008D2DCD"/>
    <w:rsid w:val="008D6AE9"/>
    <w:rsid w:val="008E21EC"/>
    <w:rsid w:val="008F1EFE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15281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E2DA5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7DD4"/>
    <w:rsid w:val="00D37FD6"/>
    <w:rsid w:val="00D43F58"/>
    <w:rsid w:val="00D519C0"/>
    <w:rsid w:val="00D5201F"/>
    <w:rsid w:val="00D520CD"/>
    <w:rsid w:val="00D52569"/>
    <w:rsid w:val="00D53960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C0493"/>
    <w:rsid w:val="00FC41C7"/>
    <w:rsid w:val="00FC5779"/>
    <w:rsid w:val="00FD1839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3718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F030D1"/>
    <w:rPr>
      <w:rFonts w:ascii="Cambria Math" w:hAnsi="Cambria Math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8508-F782-421F-B774-A1890839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1304</Words>
  <Characters>7433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82</cp:revision>
  <dcterms:created xsi:type="dcterms:W3CDTF">2016-12-08T12:45:00Z</dcterms:created>
  <dcterms:modified xsi:type="dcterms:W3CDTF">2017-10-20T16:00:00Z</dcterms:modified>
</cp:coreProperties>
</file>