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All Time Olympic Medal 1896-2008</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Proposal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Expansion of the Summer Olympics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Growth of participating nations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Growth of athletes and disciplines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Olympic Games composition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the distribution of sport events throughout history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Composition of team events in the Olympic (including regular and mixed teams)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Geographical distribution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the distribution of the Olympic hosts over the continents (does that balance the IOC’s* fairness policy)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the distribution of the participating nations over the continents </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When did each continent/region begin to participate in the Olympics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Effects of the home ground</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performance of countries that has hosted the Olympics more than one</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performance of the hosting countries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performance of the US Olympic Team when competing at home and at another country (US is the most hosting country)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Politics and the Olympics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the performance of Eastern European countries before and after the collapse of the Iron Curtain in 1991 (Soviet and Russia, Czechoslovakia vs. Czech Republic and Slovakia, East and West Germany vs. Unified Germany)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Germany (1936), Soviet Union (1980), and China (2008) are believed to integrate propaganda into the Olympic Games to serve political purposes. Determine if these Olympic Games might have any special characteristics (medals, participants,...) compared to the general trends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Diversity of Asia: Analyze performance of 4 major regions of Asia (East &amp; South East, South, Middle East and West Asia)</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Their earliest involvement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Their peek time (in tern of participating nations and medals)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Their current performance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Gender</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Ratio of men and women and its adjustment over the entire history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Analyze what types of event are registered for men but not women and vice versa</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Composition of unisex event in the Olympic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National strengths: each nation has their own strength and tends to perform better at some particular disciplines or events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Which sports are often predominated by some NOC** (a country dominates a sport if their athletes acquire more than 30% of the total medal of that sport)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Which sports show to be unpredictable (not predominated by any NOC)</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21st century Olympics (2000,2004,2008)</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Major powers of the new Olympics (top 3 rankings in each Olympics)</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Efficiency of each NOC (percentage of athletes who have medal for each NOC)</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What is the strength of those NOC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Olympics and other World-class competitions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The FIFA World Cup: are performance of National football*** team and Olympic football team consistent (judging from the finalists of World Cup 1930-2010 and Olympics 1928-2008)</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Gland Slam: are performance of individual in the Grand Slam correlated to their nation’s performance in the Olympic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rtl w:val="0"/>
        </w:rPr>
        <w:t xml:space="preserve">*IOC: International Olympic Committee</w:t>
      </w:r>
    </w:p>
    <w:p w:rsidP="00000000" w:rsidRPr="00000000" w:rsidR="00000000" w:rsidDel="00000000" w:rsidRDefault="00000000">
      <w:pPr>
        <w:widowControl w:val="0"/>
        <w:contextualSpacing w:val="0"/>
        <w:rPr/>
      </w:pPr>
      <w:r w:rsidRPr="00000000" w:rsidR="00000000" w:rsidDel="00000000">
        <w:rPr>
          <w:i w:val="1"/>
          <w:rtl w:val="0"/>
        </w:rPr>
        <w:t xml:space="preserve">**NOC: National Olympic Committee (all athletes of a single nation or territory</w:t>
      </w:r>
    </w:p>
    <w:p w:rsidP="00000000" w:rsidRPr="00000000" w:rsidR="00000000" w:rsidDel="00000000" w:rsidRDefault="00000000">
      <w:pPr>
        <w:widowControl w:val="0"/>
        <w:contextualSpacing w:val="0"/>
        <w:rPr/>
      </w:pPr>
      <w:r w:rsidRPr="00000000" w:rsidR="00000000" w:rsidDel="00000000">
        <w:rPr>
          <w:i w:val="1"/>
          <w:rtl w:val="0"/>
        </w:rPr>
        <w:t xml:space="preserve">***Football: by definition of the IOC, football refers to Association Football (or soccer)</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Olympics proposal.docx</dc:title>
</cp:coreProperties>
</file>