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B57"/>
          <w:sz w:val="34"/>
        </w:rPr>
        <w:t>Week 9 Graded Mini Project: House Sales Data Analysis</w:t>
      </w:r>
    </w:p>
    <w:p>
      <w:r>
        <w:rPr>
          <w:color w:val="555555"/>
          <w:sz w:val="18"/>
        </w:rPr>
        <w:t>Arpit Jain  |  Notebook: Week 9_Graded Mini Project_Jain.ipynb (full code and outputs)</w:t>
      </w:r>
    </w:p>
    <w:p>
      <w:pPr>
        <w:spacing w:after="60" w:before="0" w:line="264" w:lineRule="auto"/>
      </w:pPr>
      <w:r>
        <w:rPr>
          <w:b/>
          <w:sz w:val="19"/>
        </w:rPr>
        <w:t>Objective:</w:t>
      </w:r>
      <w:r>
        <w:rPr>
          <w:b w:val="0"/>
          <w:sz w:val="19"/>
        </w:rPr>
        <w:t xml:space="preserve"> analyse housing data to identify the key factors that influence sale prices, through data cleaning, feature engineering, exploratory analysis and predictive modelling with XGBoost, LightGBM and CatBoost.</w:t>
      </w:r>
    </w:p>
    <w:p>
      <w:pPr>
        <w:keepNext/>
        <w:spacing w:before="200" w:after="60"/>
      </w:pPr>
      <w:r>
        <w:rPr>
          <w:b/>
          <w:color w:val="1F3B57"/>
          <w:sz w:val="26"/>
        </w:rPr>
        <w:t>Task 1: Data Cleaning and Preprocessing</w:t>
      </w:r>
    </w:p>
    <w:p>
      <w:pPr>
        <w:keepNext/>
        <w:spacing w:before="120" w:after="60"/>
      </w:pPr>
      <w:r>
        <w:rPr>
          <w:b/>
          <w:color w:val="1F3B57"/>
          <w:sz w:val="22"/>
        </w:rPr>
        <w:t>1.1 Handling Missing Values</w:t>
      </w:r>
    </w:p>
    <w:p>
      <w:pPr>
        <w:spacing w:after="60" w:before="0" w:line="264" w:lineRule="auto"/>
      </w:pPr>
      <w:r>
        <w:rPr>
          <w:b w:val="0"/>
          <w:sz w:val="19"/>
        </w:rPr>
        <w:t xml:space="preserve">19 of the 81 columns have missing values. Following the data description, a blank usually means </w:t>
      </w:r>
      <w:r>
        <w:rPr>
          <w:b/>
          <w:sz w:val="19"/>
        </w:rPr>
        <w:t>the facility does not exist</w:t>
      </w:r>
      <w:r>
        <w:rPr>
          <w:b w:val="0"/>
          <w:sz w:val="19"/>
        </w:rPr>
        <w:t xml:space="preserve"> (for example, no garage), so each column was treated according to what the gap means:</w:t>
      </w:r>
    </w:p>
    <w:p>
      <w:pPr>
        <w:spacing w:after="20" w:before="0" w:line="264" w:lineRule="auto"/>
        <w:jc w:val="center"/>
      </w:pPr>
      <w:r>
        <w:drawing>
          <wp:inline xmlns:a="http://schemas.openxmlformats.org/drawingml/2006/main" xmlns:pic="http://schemas.openxmlformats.org/drawingml/2006/picture">
            <wp:extent cx="4500000" cy="2500000"/>
            <wp:docPr id="1" name="Picture 1"/>
            <wp:cNvGraphicFramePr>
              <a:graphicFrameLocks noChangeAspect="1"/>
            </wp:cNvGraphicFramePr>
            <a:graphic>
              <a:graphicData uri="http://schemas.openxmlformats.org/drawingml/2006/picture">
                <pic:pic>
                  <pic:nvPicPr>
                    <pic:cNvPr id="0" name="01_missing_values.png"/>
                    <pic:cNvPicPr/>
                  </pic:nvPicPr>
                  <pic:blipFill>
                    <a:blip r:embed="rId9"/>
                    <a:stretch>
                      <a:fillRect/>
                    </a:stretch>
                  </pic:blipFill>
                  <pic:spPr>
                    <a:xfrm>
                      <a:off x="0" y="0"/>
                      <a:ext cx="4500000" cy="2500000"/>
                    </a:xfrm>
                    <a:prstGeom prst="rect"/>
                  </pic:spPr>
                </pic:pic>
              </a:graphicData>
            </a:graphic>
          </wp:inline>
        </w:drawing>
      </w:r>
    </w:p>
    <w:p>
      <w:pPr>
        <w:spacing w:after="100" w:before="0" w:line="264" w:lineRule="auto"/>
        <w:jc w:val="center"/>
      </w:pPr>
      <w:r>
        <w:rPr>
          <w:i/>
          <w:sz w:val="16"/>
        </w:rPr>
        <w:t>Figure 1 - Columns with missing values (count shown at bar end)</w:t>
      </w:r>
    </w:p>
    <w:tbl>
      <w:tblPr>
        <w:tblStyle w:val="TableGrid"/>
        <w:tblW w:type="auto" w:w="0"/>
        <w:tblLayout w:type="fixed"/>
        <w:tblLook w:firstColumn="1" w:firstRow="1" w:lastColumn="0" w:lastRow="0" w:noHBand="0" w:noVBand="1" w:val="04A0"/>
      </w:tblPr>
      <w:tblGrid>
        <w:gridCol w:w="2198"/>
        <w:gridCol w:w="4884"/>
        <w:gridCol w:w="2442"/>
      </w:tblGrid>
      <w:tr>
        <w:tc>
          <w:tcPr>
            <w:tcW w:type="dxa" w:w="2198"/>
            <w:shd w:val="clear" w:fill="1F3B57"/>
          </w:tcPr>
          <w:p>
            <w:pPr>
              <w:spacing w:after="0"/>
            </w:pPr>
            <w:r/>
            <w:r>
              <w:rPr>
                <w:b/>
                <w:color w:val="FFFFFF"/>
                <w:sz w:val="16"/>
              </w:rPr>
              <w:t>Group</w:t>
            </w:r>
          </w:p>
        </w:tc>
        <w:tc>
          <w:tcPr>
            <w:tcW w:type="dxa" w:w="4884"/>
            <w:shd w:val="clear" w:fill="1F3B57"/>
          </w:tcPr>
          <w:p>
            <w:pPr>
              <w:spacing w:after="0"/>
            </w:pPr>
            <w:r/>
            <w:r>
              <w:rPr>
                <w:b/>
                <w:color w:val="FFFFFF"/>
                <w:sz w:val="16"/>
              </w:rPr>
              <w:t>Columns</w:t>
            </w:r>
          </w:p>
        </w:tc>
        <w:tc>
          <w:tcPr>
            <w:tcW w:type="dxa" w:w="2442"/>
            <w:shd w:val="clear" w:fill="1F3B57"/>
          </w:tcPr>
          <w:p>
            <w:pPr>
              <w:spacing w:after="0"/>
            </w:pPr>
            <w:r/>
            <w:r>
              <w:rPr>
                <w:b/>
                <w:color w:val="FFFFFF"/>
                <w:sz w:val="16"/>
              </w:rPr>
              <w:t>Treatment</w:t>
            </w:r>
          </w:p>
        </w:tc>
      </w:tr>
      <w:tr>
        <w:tc>
          <w:tcPr>
            <w:tcW w:type="dxa" w:w="2198"/>
          </w:tcPr>
          <w:p>
            <w:pPr>
              <w:spacing w:after="0"/>
            </w:pPr>
            <w:r/>
            <w:r>
              <w:rPr>
                <w:sz w:val="16"/>
              </w:rPr>
              <w:t>Categorical, facility absent</w:t>
            </w:r>
          </w:p>
        </w:tc>
        <w:tc>
          <w:tcPr>
            <w:tcW w:type="dxa" w:w="4884"/>
          </w:tcPr>
          <w:p>
            <w:pPr>
              <w:spacing w:after="0"/>
            </w:pPr>
            <w:r/>
            <w:r>
              <w:rPr>
                <w:sz w:val="16"/>
              </w:rPr>
              <w:t>PoolQC, MiscFeature, Alley, Fence, FireplaceQu, Garage Type/Finish/Qual/Cond, Bsmt Qual/Cond/Exposure/FinType1/FinType2, MasVnrType</w:t>
            </w:r>
          </w:p>
        </w:tc>
        <w:tc>
          <w:tcPr>
            <w:tcW w:type="dxa" w:w="2442"/>
          </w:tcPr>
          <w:p>
            <w:pPr>
              <w:spacing w:after="0"/>
            </w:pPr>
            <w:r/>
            <w:r>
              <w:rPr>
                <w:sz w:val="16"/>
              </w:rPr>
              <w:t>Filled with category "None"</w:t>
            </w:r>
          </w:p>
        </w:tc>
      </w:tr>
      <w:tr>
        <w:tc>
          <w:tcPr>
            <w:tcW w:type="dxa" w:w="2198"/>
          </w:tcPr>
          <w:p>
            <w:pPr>
              <w:spacing w:after="0"/>
            </w:pPr>
            <w:r/>
            <w:r>
              <w:rPr>
                <w:sz w:val="16"/>
              </w:rPr>
              <w:t>Numeric field of that facility</w:t>
            </w:r>
          </w:p>
        </w:tc>
        <w:tc>
          <w:tcPr>
            <w:tcW w:type="dxa" w:w="4884"/>
          </w:tcPr>
          <w:p>
            <w:pPr>
              <w:spacing w:after="0"/>
            </w:pPr>
            <w:r/>
            <w:r>
              <w:rPr>
                <w:sz w:val="16"/>
              </w:rPr>
              <w:t>GarageYrBlt, MasVnrArea (and other Bsmt/Garage numerics)</w:t>
            </w:r>
          </w:p>
        </w:tc>
        <w:tc>
          <w:tcPr>
            <w:tcW w:type="dxa" w:w="2442"/>
          </w:tcPr>
          <w:p>
            <w:pPr>
              <w:spacing w:after="0"/>
            </w:pPr>
            <w:r/>
            <w:r>
              <w:rPr>
                <w:sz w:val="16"/>
              </w:rPr>
              <w:t>Filled with 0 (as instructed)</w:t>
            </w:r>
          </w:p>
        </w:tc>
      </w:tr>
      <w:tr>
        <w:tc>
          <w:tcPr>
            <w:tcW w:type="dxa" w:w="2198"/>
          </w:tcPr>
          <w:p>
            <w:pPr>
              <w:spacing w:after="0"/>
            </w:pPr>
            <w:r/>
            <w:r>
              <w:rPr>
                <w:sz w:val="16"/>
              </w:rPr>
              <w:t>Genuine gaps (facility exists)</w:t>
            </w:r>
          </w:p>
        </w:tc>
        <w:tc>
          <w:tcPr>
            <w:tcW w:type="dxa" w:w="4884"/>
          </w:tcPr>
          <w:p>
            <w:pPr>
              <w:spacing w:after="0"/>
            </w:pPr>
            <w:r/>
            <w:r>
              <w:rPr>
                <w:sz w:val="16"/>
              </w:rPr>
              <w:t>BsmtExposure (house 949), BsmtFinType2 (house 333) - both have a basement; Electrical (house 1380)</w:t>
            </w:r>
          </w:p>
        </w:tc>
        <w:tc>
          <w:tcPr>
            <w:tcW w:type="dxa" w:w="2442"/>
          </w:tcPr>
          <w:p>
            <w:pPr>
              <w:spacing w:after="0"/>
            </w:pPr>
            <w:r/>
            <w:r>
              <w:rPr>
                <w:sz w:val="16"/>
              </w:rPr>
              <w:t>Mode from training data: "No", "Unf", "SBrkr"</w:t>
            </w:r>
          </w:p>
        </w:tc>
      </w:tr>
      <w:tr>
        <w:tc>
          <w:tcPr>
            <w:tcW w:type="dxa" w:w="2198"/>
          </w:tcPr>
          <w:p>
            <w:pPr>
              <w:spacing w:after="0"/>
            </w:pPr>
            <w:r/>
            <w:r>
              <w:rPr>
                <w:sz w:val="16"/>
              </w:rPr>
              <w:t>Measurement, not a facility</w:t>
            </w:r>
          </w:p>
        </w:tc>
        <w:tc>
          <w:tcPr>
            <w:tcW w:type="dxa" w:w="4884"/>
          </w:tcPr>
          <w:p>
            <w:pPr>
              <w:spacing w:after="0"/>
            </w:pPr>
            <w:r/>
            <w:r>
              <w:rPr>
                <w:sz w:val="16"/>
              </w:rPr>
              <w:t>LotFrontage (259 rows, 17.7%)</w:t>
            </w:r>
          </w:p>
        </w:tc>
        <w:tc>
          <w:tcPr>
            <w:tcW w:type="dxa" w:w="2442"/>
          </w:tcPr>
          <w:p>
            <w:pPr>
              <w:spacing w:after="0"/>
            </w:pPr>
            <w:r/>
            <w:r>
              <w:rPr>
                <w:sz w:val="16"/>
              </w:rPr>
              <w:t>Median LotFrontage of the same Neighborhood (training data)</w:t>
            </w:r>
          </w:p>
        </w:tc>
      </w:tr>
    </w:tbl>
    <w:p>
      <w:pPr>
        <w:spacing w:after="80" w:before="0" w:line="264" w:lineRule="auto"/>
      </w:pPr>
    </w:p>
    <w:p>
      <w:pPr>
        <w:spacing w:after="30" w:before="0" w:line="264" w:lineRule="auto"/>
        <w:ind w:left="255" w:hanging="170"/>
      </w:pPr>
      <w:r>
        <w:rPr>
          <w:b w:val="0"/>
          <w:sz w:val="19"/>
        </w:rPr>
        <w:t xml:space="preserve">• </w:t>
      </w:r>
      <w:r>
        <w:rPr>
          <w:b/>
          <w:sz w:val="19"/>
        </w:rPr>
        <w:t>Pandas detail:</w:t>
      </w:r>
      <w:r>
        <w:rPr>
          <w:b w:val="0"/>
          <w:sz w:val="19"/>
        </w:rPr>
        <w:t xml:space="preserve"> by default pandas reads the text "None" as missing. Here "None" is a real MasVnrType category, so the file is read with keep_default_na=False, na_values=['NA','']. This reduces the MasVnrType gaps from 872 to the 8 that are really missing.</w:t>
      </w:r>
    </w:p>
    <w:p>
      <w:pPr>
        <w:spacing w:after="30" w:before="0" w:line="264" w:lineRule="auto"/>
        <w:ind w:left="255" w:hanging="170"/>
      </w:pPr>
      <w:r>
        <w:rPr>
          <w:b w:val="0"/>
          <w:sz w:val="19"/>
        </w:rPr>
        <w:t xml:space="preserve">• </w:t>
      </w:r>
      <w:r>
        <w:rPr>
          <w:b/>
          <w:sz w:val="19"/>
        </w:rPr>
        <w:t>LotFrontage is not set to 0:</w:t>
      </w:r>
      <w:r>
        <w:rPr>
          <w:b w:val="0"/>
          <w:sz w:val="19"/>
        </w:rPr>
        <w:t xml:space="preserve"> every lot touches a street, so 0 would be false. Lots in the same neighbourhood have similar frontage, which makes the neighbourhood median a sensible estimate.</w:t>
      </w:r>
    </w:p>
    <w:p>
      <w:pPr>
        <w:spacing w:after="30" w:before="0" w:line="264" w:lineRule="auto"/>
        <w:ind w:left="255" w:hanging="170"/>
      </w:pPr>
      <w:r>
        <w:rPr>
          <w:b w:val="0"/>
          <w:sz w:val="19"/>
        </w:rPr>
        <w:t xml:space="preserve">• </w:t>
      </w:r>
      <w:r>
        <w:rPr>
          <w:b/>
          <w:sz w:val="19"/>
        </w:rPr>
        <w:t>No leakage:</w:t>
      </w:r>
      <w:r>
        <w:rPr>
          <w:b w:val="0"/>
          <w:sz w:val="19"/>
        </w:rPr>
        <w:t xml:space="preserve"> the medians and modes were learned from the training split only. After cleaning, 0 missing values remain in both train and test.</w:t>
      </w:r>
    </w:p>
    <w:p>
      <w:pPr>
        <w:spacing w:after="20" w:before="0" w:line="264" w:lineRule="auto"/>
      </w:pPr>
      <w:r>
        <w:rPr>
          <w:i/>
          <w:sz w:val="16"/>
        </w:rPr>
        <w:t>Code snippet (notebook section 1.1)</w:t>
      </w:r>
    </w:p>
    <w:p>
      <w:pPr>
        <w:spacing w:after="100" w:before="0" w:line="240" w:lineRule="auto"/>
        <w:shd w:val="clear" w:color="auto" w:fill="F2F4F7"/>
      </w:pPr>
      <w:r>
        <w:rPr>
          <w:rFonts w:ascii="Courier New" w:hAnsi="Courier New" w:eastAsia="Courier New"/>
          <w:sz w:val="15"/>
        </w:rPr>
        <w:t>raw = pd.read_csv("houseprice.csv", keep_default_na=False, na_values=["NA", ""])</w:t>
        <w:br/>
      </w:r>
      <w:r>
        <w:rPr>
          <w:rFonts w:ascii="Courier New" w:hAnsi="Courier New" w:eastAsia="Courier New"/>
          <w:sz w:val="15"/>
        </w:rPr>
        <w:t>df[NONE_COLS] = df[NONE_COLS].fillna("None")          # facility absent</w:t>
        <w:br/>
      </w:r>
      <w:r>
        <w:rPr>
          <w:rFonts w:ascii="Courier New" w:hAnsi="Courier New" w:eastAsia="Courier New"/>
          <w:sz w:val="15"/>
        </w:rPr>
        <w:t>df[ZERO_COLS] = df[ZERO_COLS].fillna(0)               # its numeric fields -&gt; 0</w:t>
        <w:br/>
      </w:r>
      <w:r>
        <w:rPr>
          <w:rFonts w:ascii="Courier New" w:hAnsi="Courier New" w:eastAsia="Courier New"/>
          <w:sz w:val="15"/>
        </w:rPr>
        <w:t>lot_med = train_df.groupby("Neighborhood")["LotFrontage"].median()</w:t>
        <w:br/>
      </w:r>
      <w:r>
        <w:rPr>
          <w:rFonts w:ascii="Courier New" w:hAnsi="Courier New" w:eastAsia="Courier New"/>
          <w:sz w:val="15"/>
        </w:rPr>
        <w:t>d["LotFrontage"] = d["LotFrontage"].fillna(d["Neighborhood"].map(lot_med))</w:t>
      </w:r>
    </w:p>
    <w:p>
      <w:pPr>
        <w:keepNext/>
        <w:spacing w:before="120" w:after="60"/>
      </w:pPr>
      <w:r>
        <w:rPr>
          <w:b/>
          <w:color w:val="1F3B57"/>
          <w:sz w:val="22"/>
        </w:rPr>
        <w:t>1.2 Converting Categorical Variables</w:t>
      </w:r>
    </w:p>
    <w:p>
      <w:pPr>
        <w:spacing w:after="60" w:before="0" w:line="264" w:lineRule="auto"/>
      </w:pPr>
      <w:r>
        <w:rPr>
          <w:b w:val="0"/>
          <w:sz w:val="19"/>
        </w:rPr>
        <w:t>Encoding was chosen per column type, so that order is preserved where it exists and never invented where it doesn't:</w:t>
      </w:r>
    </w:p>
    <w:tbl>
      <w:tblPr>
        <w:tblStyle w:val="TableGrid"/>
        <w:tblW w:type="auto" w:w="0"/>
        <w:tblLayout w:type="fixed"/>
        <w:tblLook w:firstColumn="1" w:firstRow="1" w:lastColumn="0" w:lastRow="0" w:noHBand="0" w:noVBand="1" w:val="04A0"/>
      </w:tblPr>
      <w:tblGrid>
        <w:gridCol w:w="1710"/>
        <w:gridCol w:w="3907"/>
        <w:gridCol w:w="2076"/>
        <w:gridCol w:w="1832"/>
      </w:tblGrid>
      <w:tr>
        <w:tc>
          <w:tcPr>
            <w:tcW w:type="dxa" w:w="1710"/>
            <w:shd w:val="clear" w:fill="1F3B57"/>
          </w:tcPr>
          <w:p>
            <w:pPr>
              <w:spacing w:after="0"/>
            </w:pPr>
            <w:r/>
            <w:r>
              <w:rPr>
                <w:b/>
                <w:color w:val="FFFFFF"/>
                <w:sz w:val="16"/>
              </w:rPr>
              <w:t>Type</w:t>
            </w:r>
          </w:p>
        </w:tc>
        <w:tc>
          <w:tcPr>
            <w:tcW w:type="dxa" w:w="3907"/>
            <w:shd w:val="clear" w:fill="1F3B57"/>
          </w:tcPr>
          <w:p>
            <w:pPr>
              <w:spacing w:after="0"/>
            </w:pPr>
            <w:r/>
            <w:r>
              <w:rPr>
                <w:b/>
                <w:color w:val="FFFFFF"/>
                <w:sz w:val="16"/>
              </w:rPr>
              <w:t>Columns</w:t>
            </w:r>
          </w:p>
        </w:tc>
        <w:tc>
          <w:tcPr>
            <w:tcW w:type="dxa" w:w="2076"/>
            <w:shd w:val="clear" w:fill="1F3B57"/>
          </w:tcPr>
          <w:p>
            <w:pPr>
              <w:spacing w:after="0"/>
            </w:pPr>
            <w:r/>
            <w:r>
              <w:rPr>
                <w:b/>
                <w:color w:val="FFFFFF"/>
                <w:sz w:val="16"/>
              </w:rPr>
              <w:t>Method</w:t>
            </w:r>
          </w:p>
        </w:tc>
        <w:tc>
          <w:tcPr>
            <w:tcW w:type="dxa" w:w="1832"/>
            <w:shd w:val="clear" w:fill="1F3B57"/>
          </w:tcPr>
          <w:p>
            <w:pPr>
              <w:spacing w:after="0"/>
            </w:pPr>
            <w:r/>
            <w:r>
              <w:rPr>
                <w:b/>
                <w:color w:val="FFFFFF"/>
                <w:sz w:val="16"/>
              </w:rPr>
              <w:t>Justification</w:t>
            </w:r>
          </w:p>
        </w:tc>
      </w:tr>
      <w:tr>
        <w:tc>
          <w:tcPr>
            <w:tcW w:type="dxa" w:w="1710"/>
          </w:tcPr>
          <w:p>
            <w:pPr>
              <w:spacing w:after="0"/>
            </w:pPr>
            <w:r/>
            <w:r>
              <w:rPr>
                <w:sz w:val="16"/>
              </w:rPr>
              <w:t>Ordered quality scales</w:t>
            </w:r>
          </w:p>
        </w:tc>
        <w:tc>
          <w:tcPr>
            <w:tcW w:type="dxa" w:w="3907"/>
          </w:tcPr>
          <w:p>
            <w:pPr>
              <w:spacing w:after="0"/>
            </w:pPr>
            <w:r/>
            <w:r>
              <w:rPr>
                <w:sz w:val="16"/>
              </w:rPr>
              <w:t>ExterQual, ExterCond, BsmtQual, BsmtCond, HeatingQC, KitchenQual, FireplaceQu, GarageQual, GarageCond, PoolQC</w:t>
            </w:r>
          </w:p>
        </w:tc>
        <w:tc>
          <w:tcPr>
            <w:tcW w:type="dxa" w:w="2076"/>
          </w:tcPr>
          <w:p>
            <w:pPr>
              <w:spacing w:after="0"/>
            </w:pPr>
            <w:r/>
            <w:r>
              <w:rPr>
                <w:sz w:val="16"/>
              </w:rPr>
              <w:t>Ordinal: None=0, Po=1, Fa=2, TA=3, Gd=4, Ex=5</w:t>
            </w:r>
          </w:p>
        </w:tc>
        <w:tc>
          <w:tcPr>
            <w:tcW w:type="dxa" w:w="1832"/>
          </w:tcPr>
          <w:p>
            <w:pPr>
              <w:spacing w:after="0"/>
            </w:pPr>
            <w:r/>
            <w:r>
              <w:rPr>
                <w:sz w:val="16"/>
              </w:rPr>
              <w:t>Clear order; one column keeps it</w:t>
            </w:r>
          </w:p>
        </w:tc>
      </w:tr>
      <w:tr>
        <w:tc>
          <w:tcPr>
            <w:tcW w:type="dxa" w:w="1710"/>
          </w:tcPr>
          <w:p>
            <w:pPr>
              <w:spacing w:after="0"/>
            </w:pPr>
            <w:r/>
            <w:r>
              <w:rPr>
                <w:sz w:val="16"/>
              </w:rPr>
              <w:t>Other ordered scales</w:t>
            </w:r>
          </w:p>
        </w:tc>
        <w:tc>
          <w:tcPr>
            <w:tcW w:type="dxa" w:w="3907"/>
          </w:tcPr>
          <w:p>
            <w:pPr>
              <w:spacing w:after="0"/>
            </w:pPr>
            <w:r/>
            <w:r>
              <w:rPr>
                <w:sz w:val="16"/>
              </w:rPr>
              <w:t>BsmtExposure, BsmtFinType1/2, GarageFinish, Functional, LotShape, LandSlope, PavedDrive, CentralAir, Street, Utilities</w:t>
            </w:r>
          </w:p>
        </w:tc>
        <w:tc>
          <w:tcPr>
            <w:tcW w:type="dxa" w:w="2076"/>
          </w:tcPr>
          <w:p>
            <w:pPr>
              <w:spacing w:after="0"/>
            </w:pPr>
            <w:r/>
            <w:r>
              <w:rPr>
                <w:sz w:val="16"/>
              </w:rPr>
              <w:t>Ordinal by rank</w:t>
            </w:r>
          </w:p>
        </w:tc>
        <w:tc>
          <w:tcPr>
            <w:tcW w:type="dxa" w:w="1832"/>
          </w:tcPr>
          <w:p>
            <w:pPr>
              <w:spacing w:after="0"/>
            </w:pPr>
            <w:r/>
            <w:r>
              <w:rPr>
                <w:sz w:val="16"/>
              </w:rPr>
              <w:t>Same reasoning</w:t>
            </w:r>
          </w:p>
        </w:tc>
      </w:tr>
      <w:tr>
        <w:tc>
          <w:tcPr>
            <w:tcW w:type="dxa" w:w="1710"/>
          </w:tcPr>
          <w:p>
            <w:pPr>
              <w:spacing w:after="0"/>
            </w:pPr>
            <w:r/>
            <w:r>
              <w:rPr>
                <w:sz w:val="16"/>
              </w:rPr>
              <w:t>Binned features</w:t>
            </w:r>
          </w:p>
        </w:tc>
        <w:tc>
          <w:tcPr>
            <w:tcW w:type="dxa" w:w="3907"/>
          </w:tcPr>
          <w:p>
            <w:pPr>
              <w:spacing w:after="0"/>
            </w:pPr>
            <w:r/>
            <w:r>
              <w:rPr>
                <w:sz w:val="16"/>
              </w:rPr>
              <w:t>AgeBand, QualBand, SizeBand, EraBuilt, LotBand</w:t>
            </w:r>
          </w:p>
        </w:tc>
        <w:tc>
          <w:tcPr>
            <w:tcW w:type="dxa" w:w="2076"/>
          </w:tcPr>
          <w:p>
            <w:pPr>
              <w:spacing w:after="0"/>
            </w:pPr>
            <w:r/>
            <w:r>
              <w:rPr>
                <w:sz w:val="16"/>
              </w:rPr>
              <w:t>Ordinal 0-3</w:t>
            </w:r>
          </w:p>
        </w:tc>
        <w:tc>
          <w:tcPr>
            <w:tcW w:type="dxa" w:w="1832"/>
          </w:tcPr>
          <w:p>
            <w:pPr>
              <w:spacing w:after="0"/>
            </w:pPr>
            <w:r/>
            <w:r>
              <w:rPr>
                <w:sz w:val="16"/>
              </w:rPr>
              <w:t>Bins are ordered</w:t>
            </w:r>
          </w:p>
        </w:tc>
      </w:tr>
      <w:tr>
        <w:tc>
          <w:tcPr>
            <w:tcW w:type="dxa" w:w="1710"/>
          </w:tcPr>
          <w:p>
            <w:pPr>
              <w:spacing w:after="0"/>
            </w:pPr>
            <w:r/>
            <w:r>
              <w:rPr>
                <w:sz w:val="16"/>
              </w:rPr>
              <w:t>Nominal (no order)</w:t>
            </w:r>
          </w:p>
        </w:tc>
        <w:tc>
          <w:tcPr>
            <w:tcW w:type="dxa" w:w="3907"/>
          </w:tcPr>
          <w:p>
            <w:pPr>
              <w:spacing w:after="0"/>
            </w:pPr>
            <w:r/>
            <w:r>
              <w:rPr>
                <w:sz w:val="16"/>
              </w:rPr>
              <w:t>23 columns: MSZoning, Neighborhood, MSSubClass, HouseStyle, Exterior1st/2nd, SaleType, Foundation, ...</w:t>
            </w:r>
          </w:p>
        </w:tc>
        <w:tc>
          <w:tcPr>
            <w:tcW w:type="dxa" w:w="2076"/>
          </w:tcPr>
          <w:p>
            <w:pPr>
              <w:spacing w:after="0"/>
            </w:pPr>
            <w:r/>
            <w:r>
              <w:rPr>
                <w:sz w:val="16"/>
              </w:rPr>
              <w:t>One-hot encoding</w:t>
            </w:r>
          </w:p>
        </w:tc>
        <w:tc>
          <w:tcPr>
            <w:tcW w:type="dxa" w:w="1832"/>
          </w:tcPr>
          <w:p>
            <w:pPr>
              <w:spacing w:after="0"/>
            </w:pPr>
            <w:r/>
            <w:r>
              <w:rPr>
                <w:sz w:val="16"/>
              </w:rPr>
              <w:t>Integers would imply a false order</w:t>
            </w:r>
          </w:p>
        </w:tc>
      </w:tr>
    </w:tbl>
    <w:p>
      <w:pPr>
        <w:spacing w:after="80" w:before="0" w:line="264" w:lineRule="auto"/>
      </w:pPr>
    </w:p>
    <w:p>
      <w:pPr>
        <w:spacing w:after="30" w:before="0" w:line="264" w:lineRule="auto"/>
        <w:ind w:left="255" w:hanging="170"/>
      </w:pPr>
      <w:r>
        <w:rPr>
          <w:b w:val="0"/>
          <w:sz w:val="19"/>
        </w:rPr>
        <w:t xml:space="preserve">• </w:t>
      </w:r>
      <w:r>
        <w:rPr>
          <w:b/>
          <w:sz w:val="19"/>
        </w:rPr>
        <w:t>MSSubClass</w:t>
      </w:r>
      <w:r>
        <w:rPr>
          <w:b w:val="0"/>
          <w:sz w:val="19"/>
        </w:rPr>
        <w:t xml:space="preserve"> is stored as a number (20, 60, 120...), but it is a </w:t>
      </w:r>
      <w:r>
        <w:rPr>
          <w:b/>
          <w:sz w:val="19"/>
        </w:rPr>
        <w:t>code</w:t>
      </w:r>
      <w:r>
        <w:rPr>
          <w:b w:val="0"/>
          <w:sz w:val="19"/>
        </w:rPr>
        <w:t xml:space="preserve"> for the dwelling type, so it was converted to text and one-hot encoded.</w:t>
      </w:r>
    </w:p>
    <w:p>
      <w:pPr>
        <w:spacing w:after="30" w:before="0" w:line="264" w:lineRule="auto"/>
        <w:ind w:left="255" w:hanging="170"/>
      </w:pPr>
      <w:r>
        <w:rPr>
          <w:b w:val="0"/>
          <w:sz w:val="19"/>
        </w:rPr>
        <w:t xml:space="preserve">• </w:t>
      </w:r>
      <w:r>
        <w:rPr>
          <w:b/>
          <w:sz w:val="19"/>
        </w:rPr>
        <w:t>Train/test consistency:</w:t>
      </w:r>
      <w:r>
        <w:rPr>
          <w:b w:val="0"/>
          <w:sz w:val="19"/>
        </w:rPr>
        <w:t xml:space="preserve"> one-hot columns were created from the training categories, and the test set was re-indexed to match. A category that only appears in the test set becomes all-zero instead of breaking the model.</w:t>
      </w:r>
    </w:p>
    <w:p>
      <w:pPr>
        <w:spacing w:after="30" w:before="0" w:line="264" w:lineRule="auto"/>
        <w:ind w:left="255" w:hanging="170"/>
      </w:pPr>
      <w:r>
        <w:rPr>
          <w:b w:val="0"/>
          <w:sz w:val="19"/>
        </w:rPr>
        <w:t xml:space="preserve">• </w:t>
      </w:r>
      <w:r>
        <w:rPr>
          <w:b/>
          <w:sz w:val="19"/>
        </w:rPr>
        <w:t>Result:</w:t>
      </w:r>
      <w:r>
        <w:rPr>
          <w:b w:val="0"/>
          <w:sz w:val="19"/>
        </w:rPr>
        <w:t xml:space="preserve"> 21 ordinal columns + 5 bins + 23 one-hot columns give a final model matrix of </w:t>
      </w:r>
      <w:r>
        <w:rPr>
          <w:b/>
          <w:sz w:val="19"/>
        </w:rPr>
        <w:t>260 features</w:t>
      </w:r>
      <w:r>
        <w:rPr>
          <w:b w:val="0"/>
          <w:sz w:val="19"/>
        </w:rPr>
        <w:t xml:space="preserve"> (1,166 training rows, 292 test rows).</w:t>
      </w:r>
    </w:p>
    <w:p>
      <w:pPr>
        <w:spacing w:after="20" w:before="0" w:line="264" w:lineRule="auto"/>
      </w:pPr>
      <w:r>
        <w:rPr>
          <w:i/>
          <w:sz w:val="16"/>
        </w:rPr>
        <w:t>Code snippet (notebook section 1.2)</w:t>
      </w:r>
    </w:p>
    <w:p>
      <w:pPr>
        <w:spacing w:after="100" w:before="0" w:line="240" w:lineRule="auto"/>
        <w:shd w:val="clear" w:color="auto" w:fill="F2F4F7"/>
      </w:pPr>
      <w:r>
        <w:rPr>
          <w:rFonts w:ascii="Courier New" w:hAnsi="Courier New" w:eastAsia="Courier New"/>
          <w:sz w:val="15"/>
        </w:rPr>
        <w:t>d["MSSubClass"] = "SC" + d["MSSubClass"].astype(str)      # code, not a quantity</w:t>
        <w:br/>
      </w:r>
      <w:r>
        <w:rPr>
          <w:rFonts w:ascii="Courier New" w:hAnsi="Courier New" w:eastAsia="Courier New"/>
          <w:sz w:val="15"/>
        </w:rPr>
        <w:t>for col, mapping in ORDINAL_MAPS.items():                  # Ex=5 ... Po=1, None=0</w:t>
        <w:br/>
      </w:r>
      <w:r>
        <w:rPr>
          <w:rFonts w:ascii="Courier New" w:hAnsi="Courier New" w:eastAsia="Courier New"/>
          <w:sz w:val="15"/>
        </w:rPr>
        <w:t xml:space="preserve">    d[col] = d[col].map(mapping)</w:t>
        <w:br/>
      </w:r>
      <w:r>
        <w:rPr>
          <w:rFonts w:ascii="Courier New" w:hAnsi="Courier New" w:eastAsia="Courier New"/>
          <w:sz w:val="15"/>
        </w:rPr>
        <w:t>X_train = pd.get_dummies(tr, columns=NOMINAL, dtype=int)</w:t>
        <w:br/>
      </w:r>
      <w:r>
        <w:rPr>
          <w:rFonts w:ascii="Courier New" w:hAnsi="Courier New" w:eastAsia="Courier New"/>
          <w:sz w:val="15"/>
        </w:rPr>
        <w:t>X_test = pd.get_dummies(te, columns=NOMINAL, dtype=int).reindex(columns=X_train.columns, fill_value=0)</w:t>
      </w:r>
    </w:p>
    <w:p>
      <w:pPr>
        <w:keepNext/>
        <w:spacing w:before="120" w:after="60"/>
      </w:pPr>
      <w:r>
        <w:rPr>
          <w:b/>
          <w:color w:val="1F3B57"/>
          <w:sz w:val="22"/>
        </w:rPr>
        <w:t>1.3 Normalising Numerical Features</w:t>
      </w:r>
    </w:p>
    <w:p>
      <w:pPr>
        <w:spacing w:after="30" w:before="0" w:line="264" w:lineRule="auto"/>
        <w:ind w:left="255" w:hanging="170"/>
      </w:pPr>
      <w:r>
        <w:rPr>
          <w:b w:val="0"/>
          <w:sz w:val="19"/>
        </w:rPr>
        <w:t xml:space="preserve">• </w:t>
      </w:r>
      <w:r>
        <w:rPr>
          <w:b/>
          <w:sz w:val="19"/>
        </w:rPr>
        <w:t>Step 1, log transform:</w:t>
      </w:r>
      <w:r>
        <w:rPr>
          <w:b w:val="0"/>
          <w:sz w:val="19"/>
        </w:rPr>
        <w:t xml:space="preserve"> 39 continuous columns with |skewness| &gt; 0.75 were transformed with log(1 + x). For example, LotArea skew dropped from 12.3 to 0.0 and LotArea_per_SF from 9.0 to 0.8.</w:t>
      </w:r>
    </w:p>
    <w:p>
      <w:pPr>
        <w:spacing w:after="30" w:before="0" w:line="264" w:lineRule="auto"/>
        <w:ind w:left="255" w:hanging="170"/>
      </w:pPr>
      <w:r>
        <w:rPr>
          <w:b w:val="0"/>
          <w:sz w:val="19"/>
        </w:rPr>
        <w:t xml:space="preserve">• </w:t>
      </w:r>
      <w:r>
        <w:rPr>
          <w:b/>
          <w:sz w:val="19"/>
        </w:rPr>
        <w:t>Step 2, standardise:</w:t>
      </w:r>
      <w:r>
        <w:rPr>
          <w:b w:val="0"/>
          <w:sz w:val="19"/>
        </w:rPr>
        <w:t xml:space="preserve"> every continuous column was scaled to mean 0 and standard deviation 1 with StandardScaler. The scaler was </w:t>
      </w:r>
      <w:r>
        <w:rPr>
          <w:b/>
          <w:sz w:val="19"/>
        </w:rPr>
        <w:t>fitted on the training set only</w:t>
      </w:r>
      <w:r>
        <w:rPr>
          <w:b w:val="0"/>
          <w:sz w:val="19"/>
        </w:rPr>
        <w:t xml:space="preserve"> and then applied to the test set.</w:t>
      </w:r>
    </w:p>
    <w:p>
      <w:pPr>
        <w:spacing w:after="30" w:before="0" w:line="264" w:lineRule="auto"/>
        <w:ind w:left="255" w:hanging="170"/>
      </w:pPr>
      <w:r>
        <w:rPr>
          <w:b w:val="0"/>
          <w:sz w:val="19"/>
        </w:rPr>
        <w:t xml:space="preserve">• </w:t>
      </w:r>
      <w:r>
        <w:rPr>
          <w:b/>
          <w:sz w:val="19"/>
        </w:rPr>
        <w:t>Dummy columns:</w:t>
      </w:r>
      <w:r>
        <w:rPr>
          <w:b w:val="0"/>
          <w:sz w:val="19"/>
        </w:rPr>
        <w:t xml:space="preserve"> one-hot 0/1 columns were left unscaled, because scaling them adds nothing.</w:t>
      </w:r>
    </w:p>
    <w:p>
      <w:pPr>
        <w:spacing w:after="30" w:before="0" w:line="264" w:lineRule="auto"/>
        <w:ind w:left="255" w:hanging="170"/>
      </w:pPr>
      <w:r>
        <w:rPr>
          <w:b w:val="0"/>
          <w:sz w:val="19"/>
        </w:rPr>
        <w:t xml:space="preserve">• </w:t>
      </w:r>
      <w:r>
        <w:rPr>
          <w:b/>
          <w:sz w:val="19"/>
        </w:rPr>
        <w:t>Target:</w:t>
      </w:r>
      <w:r>
        <w:rPr>
          <w:b w:val="0"/>
          <w:sz w:val="19"/>
        </w:rPr>
        <w:t xml:space="preserve"> SalePrice itself was log-transformed (skew 1.88 to 0.12). Models predict log price, which is converted back to dollars for the metrics.</w:t>
      </w:r>
    </w:p>
    <w:p>
      <w:pPr>
        <w:spacing w:after="30" w:before="0" w:line="264" w:lineRule="auto"/>
        <w:ind w:left="255" w:hanging="170"/>
      </w:pPr>
      <w:r>
        <w:rPr>
          <w:b w:val="0"/>
          <w:sz w:val="19"/>
        </w:rPr>
        <w:t xml:space="preserve">• </w:t>
      </w:r>
      <w:r>
        <w:rPr>
          <w:b/>
          <w:sz w:val="19"/>
        </w:rPr>
        <w:t>Note:</w:t>
      </w:r>
      <w:r>
        <w:rPr>
          <w:b w:val="0"/>
          <w:sz w:val="19"/>
        </w:rPr>
        <w:t xml:space="preserve"> tree boosters are insensitive to scale. Normalisation matters for the Ridge baseline, and using one matrix for all models keeps the comparison consistent.</w:t>
      </w:r>
    </w:p>
    <w:p>
      <w:pPr>
        <w:spacing w:after="20" w:before="0" w:line="264" w:lineRule="auto"/>
        <w:jc w:val="center"/>
      </w:pPr>
      <w:r>
        <w:drawing>
          <wp:inline xmlns:a="http://schemas.openxmlformats.org/drawingml/2006/main" xmlns:pic="http://schemas.openxmlformats.org/drawingml/2006/picture">
            <wp:extent cx="5760000" cy="2032941"/>
            <wp:docPr id="2" name="Picture 2"/>
            <wp:cNvGraphicFramePr>
              <a:graphicFrameLocks noChangeAspect="1"/>
            </wp:cNvGraphicFramePr>
            <a:graphic>
              <a:graphicData uri="http://schemas.openxmlformats.org/drawingml/2006/picture">
                <pic:pic>
                  <pic:nvPicPr>
                    <pic:cNvPr id="0" name="11_normalisation.png"/>
                    <pic:cNvPicPr/>
                  </pic:nvPicPr>
                  <pic:blipFill>
                    <a:blip r:embed="rId10"/>
                    <a:stretch>
                      <a:fillRect/>
                    </a:stretch>
                  </pic:blipFill>
                  <pic:spPr>
                    <a:xfrm>
                      <a:off x="0" y="0"/>
                      <a:ext cx="5760000" cy="2032941"/>
                    </a:xfrm>
                    <a:prstGeom prst="rect"/>
                  </pic:spPr>
                </pic:pic>
              </a:graphicData>
            </a:graphic>
          </wp:inline>
        </w:drawing>
      </w:r>
    </w:p>
    <w:p>
      <w:pPr>
        <w:spacing w:after="100" w:before="0" w:line="264" w:lineRule="auto"/>
        <w:jc w:val="center"/>
      </w:pPr>
      <w:r>
        <w:rPr>
          <w:i/>
          <w:sz w:val="16"/>
        </w:rPr>
        <w:t>Figure 2 - Raw (top) vs log + standardised (bottom) distributions</w:t>
      </w:r>
    </w:p>
    <w:p>
      <w:pPr>
        <w:spacing w:after="20" w:before="0" w:line="264" w:lineRule="auto"/>
      </w:pPr>
      <w:r>
        <w:rPr>
          <w:i/>
          <w:sz w:val="16"/>
        </w:rPr>
        <w:t>Code snippet (notebook section 1.3)</w:t>
      </w:r>
    </w:p>
    <w:p>
      <w:pPr>
        <w:spacing w:after="100" w:before="0" w:line="240" w:lineRule="auto"/>
        <w:shd w:val="clear" w:color="auto" w:fill="F2F4F7"/>
      </w:pPr>
      <w:r>
        <w:rPr>
          <w:rFonts w:ascii="Courier New" w:hAnsi="Courier New" w:eastAsia="Courier New"/>
          <w:sz w:val="15"/>
        </w:rPr>
        <w:t>skewed = [c for c in cont_cols if abs(X_train[c].skew()) &gt; 0.75 and (X_train[c] &gt;= 0).all()]</w:t>
        <w:br/>
      </w:r>
      <w:r>
        <w:rPr>
          <w:rFonts w:ascii="Courier New" w:hAnsi="Courier New" w:eastAsia="Courier New"/>
          <w:sz w:val="15"/>
        </w:rPr>
        <w:t>X_train_n[skewed] = np.log1p(X_train_n[skewed]); X_test_n[skewed] = np.log1p(X_test_n[skewed])</w:t>
        <w:br/>
      </w:r>
      <w:r>
        <w:rPr>
          <w:rFonts w:ascii="Courier New" w:hAnsi="Courier New" w:eastAsia="Courier New"/>
          <w:sz w:val="15"/>
        </w:rPr>
        <w:t>scaler = StandardScaler().fit(X_train_n[cont_cols])          # fit on TRAIN only</w:t>
        <w:br/>
      </w:r>
      <w:r>
        <w:rPr>
          <w:rFonts w:ascii="Courier New" w:hAnsi="Courier New" w:eastAsia="Courier New"/>
          <w:sz w:val="15"/>
        </w:rPr>
        <w:t>X_train_n[cont_cols] = scaler.transform(X_train_n[cont_cols])</w:t>
        <w:br/>
      </w:r>
      <w:r>
        <w:rPr>
          <w:rFonts w:ascii="Courier New" w:hAnsi="Courier New" w:eastAsia="Courier New"/>
          <w:sz w:val="15"/>
        </w:rPr>
        <w:t>X_test_n[cont_cols] = scaler.transform(X_test_n[cont_cols])</w:t>
      </w:r>
    </w:p>
    <w:p>
      <w:pPr>
        <w:keepNext/>
        <w:spacing w:before="120" w:after="60"/>
      </w:pPr>
      <w:r>
        <w:rPr>
          <w:b/>
          <w:color w:val="1F3B57"/>
          <w:sz w:val="22"/>
        </w:rPr>
        <w:t>1.4 Outlier Detection</w:t>
      </w:r>
    </w:p>
    <w:p>
      <w:pPr>
        <w:spacing w:after="60" w:before="0" w:line="264" w:lineRule="auto"/>
      </w:pPr>
      <w:r>
        <w:rPr>
          <w:b w:val="0"/>
          <w:sz w:val="19"/>
        </w:rPr>
        <w:t>Two methods were used. The first is a statistical IQR scan (1.5 x IQR rule) of the key numeric columns. The second is a domain check of price against the strongest driver, living area.</w:t>
      </w:r>
    </w:p>
    <w:tbl>
      <w:tblPr>
        <w:tblStyle w:val="TableGrid"/>
        <w:tblW w:type="auto" w:w="0"/>
        <w:tblLayout w:type="fixed"/>
        <w:tblLook w:firstColumn="1" w:firstRow="1" w:lastColumn="0" w:lastRow="0" w:noHBand="0" w:noVBand="1" w:val="04A0"/>
      </w:tblPr>
      <w:tblGrid>
        <w:gridCol w:w="2822"/>
        <w:gridCol w:w="2469"/>
        <w:gridCol w:w="2117"/>
        <w:gridCol w:w="2117"/>
      </w:tblGrid>
      <w:tr>
        <w:tc>
          <w:tcPr>
            <w:tcW w:type="dxa" w:w="2822"/>
            <w:shd w:val="clear" w:fill="1F3B57"/>
          </w:tcPr>
          <w:p>
            <w:pPr>
              <w:spacing w:after="0"/>
            </w:pPr>
            <w:r/>
            <w:r>
              <w:rPr>
                <w:b/>
                <w:color w:val="FFFFFF"/>
                <w:sz w:val="16"/>
              </w:rPr>
              <w:t>Column</w:t>
            </w:r>
          </w:p>
        </w:tc>
        <w:tc>
          <w:tcPr>
            <w:tcW w:type="dxa" w:w="2469"/>
            <w:shd w:val="clear" w:fill="1F3B57"/>
          </w:tcPr>
          <w:p>
            <w:pPr>
              <w:spacing w:after="0"/>
            </w:pPr>
            <w:r/>
            <w:r>
              <w:rPr>
                <w:b/>
                <w:color w:val="FFFFFF"/>
                <w:sz w:val="16"/>
              </w:rPr>
              <w:t>IQR upper fence</w:t>
            </w:r>
          </w:p>
        </w:tc>
        <w:tc>
          <w:tcPr>
            <w:tcW w:type="dxa" w:w="2117"/>
            <w:shd w:val="clear" w:fill="1F3B57"/>
          </w:tcPr>
          <w:p>
            <w:pPr>
              <w:spacing w:after="0"/>
            </w:pPr>
            <w:r/>
            <w:r>
              <w:rPr>
                <w:b/>
                <w:color w:val="FFFFFF"/>
                <w:sz w:val="16"/>
              </w:rPr>
              <w:t>Rows flagged</w:t>
            </w:r>
          </w:p>
        </w:tc>
        <w:tc>
          <w:tcPr>
            <w:tcW w:type="dxa" w:w="2117"/>
            <w:shd w:val="clear" w:fill="1F3B57"/>
          </w:tcPr>
          <w:p>
            <w:pPr>
              <w:spacing w:after="0"/>
            </w:pPr>
            <w:r/>
            <w:r>
              <w:rPr>
                <w:b/>
                <w:color w:val="FFFFFF"/>
                <w:sz w:val="16"/>
              </w:rPr>
              <w:t>Max value</w:t>
            </w:r>
          </w:p>
        </w:tc>
      </w:tr>
      <w:tr>
        <w:tc>
          <w:tcPr>
            <w:tcW w:type="dxa" w:w="2822"/>
          </w:tcPr>
          <w:p>
            <w:pPr>
              <w:spacing w:after="0"/>
            </w:pPr>
            <w:r/>
            <w:r>
              <w:rPr>
                <w:sz w:val="16"/>
              </w:rPr>
              <w:t>SalePrice</w:t>
            </w:r>
          </w:p>
        </w:tc>
        <w:tc>
          <w:tcPr>
            <w:tcW w:type="dxa" w:w="2469"/>
          </w:tcPr>
          <w:p>
            <w:pPr>
              <w:spacing w:after="0"/>
            </w:pPr>
            <w:r/>
            <w:r>
              <w:rPr>
                <w:sz w:val="16"/>
              </w:rPr>
              <w:t>340,038</w:t>
            </w:r>
          </w:p>
        </w:tc>
        <w:tc>
          <w:tcPr>
            <w:tcW w:type="dxa" w:w="2117"/>
          </w:tcPr>
          <w:p>
            <w:pPr>
              <w:spacing w:after="0"/>
            </w:pPr>
            <w:r/>
            <w:r>
              <w:rPr>
                <w:sz w:val="16"/>
              </w:rPr>
              <w:t>61</w:t>
            </w:r>
          </w:p>
        </w:tc>
        <w:tc>
          <w:tcPr>
            <w:tcW w:type="dxa" w:w="2117"/>
          </w:tcPr>
          <w:p>
            <w:pPr>
              <w:spacing w:after="0"/>
            </w:pPr>
            <w:r/>
            <w:r>
              <w:rPr>
                <w:sz w:val="16"/>
              </w:rPr>
              <w:t>755,000</w:t>
            </w:r>
          </w:p>
        </w:tc>
      </w:tr>
      <w:tr>
        <w:tc>
          <w:tcPr>
            <w:tcW w:type="dxa" w:w="2822"/>
          </w:tcPr>
          <w:p>
            <w:pPr>
              <w:spacing w:after="0"/>
            </w:pPr>
            <w:r/>
            <w:r>
              <w:rPr>
                <w:sz w:val="16"/>
              </w:rPr>
              <w:t>GrLivArea</w:t>
            </w:r>
          </w:p>
        </w:tc>
        <w:tc>
          <w:tcPr>
            <w:tcW w:type="dxa" w:w="2469"/>
          </w:tcPr>
          <w:p>
            <w:pPr>
              <w:spacing w:after="0"/>
            </w:pPr>
            <w:r/>
            <w:r>
              <w:rPr>
                <w:sz w:val="16"/>
              </w:rPr>
              <w:t>2,748</w:t>
            </w:r>
          </w:p>
        </w:tc>
        <w:tc>
          <w:tcPr>
            <w:tcW w:type="dxa" w:w="2117"/>
          </w:tcPr>
          <w:p>
            <w:pPr>
              <w:spacing w:after="0"/>
            </w:pPr>
            <w:r/>
            <w:r>
              <w:rPr>
                <w:sz w:val="16"/>
              </w:rPr>
              <w:t>31</w:t>
            </w:r>
          </w:p>
        </w:tc>
        <w:tc>
          <w:tcPr>
            <w:tcW w:type="dxa" w:w="2117"/>
          </w:tcPr>
          <w:p>
            <w:pPr>
              <w:spacing w:after="0"/>
            </w:pPr>
            <w:r/>
            <w:r>
              <w:rPr>
                <w:sz w:val="16"/>
              </w:rPr>
              <w:t>5,642</w:t>
            </w:r>
          </w:p>
        </w:tc>
      </w:tr>
      <w:tr>
        <w:tc>
          <w:tcPr>
            <w:tcW w:type="dxa" w:w="2822"/>
          </w:tcPr>
          <w:p>
            <w:pPr>
              <w:spacing w:after="0"/>
            </w:pPr>
            <w:r/>
            <w:r>
              <w:rPr>
                <w:sz w:val="16"/>
              </w:rPr>
              <w:t>LotArea</w:t>
            </w:r>
          </w:p>
        </w:tc>
        <w:tc>
          <w:tcPr>
            <w:tcW w:type="dxa" w:w="2469"/>
          </w:tcPr>
          <w:p>
            <w:pPr>
              <w:spacing w:after="0"/>
            </w:pPr>
            <w:r/>
            <w:r>
              <w:rPr>
                <w:sz w:val="16"/>
              </w:rPr>
              <w:t>17,674</w:t>
            </w:r>
          </w:p>
        </w:tc>
        <w:tc>
          <w:tcPr>
            <w:tcW w:type="dxa" w:w="2117"/>
          </w:tcPr>
          <w:p>
            <w:pPr>
              <w:spacing w:after="0"/>
            </w:pPr>
            <w:r/>
            <w:r>
              <w:rPr>
                <w:sz w:val="16"/>
              </w:rPr>
              <w:t>69</w:t>
            </w:r>
          </w:p>
        </w:tc>
        <w:tc>
          <w:tcPr>
            <w:tcW w:type="dxa" w:w="2117"/>
          </w:tcPr>
          <w:p>
            <w:pPr>
              <w:spacing w:after="0"/>
            </w:pPr>
            <w:r/>
            <w:r>
              <w:rPr>
                <w:sz w:val="16"/>
              </w:rPr>
              <w:t>215,245</w:t>
            </w:r>
          </w:p>
        </w:tc>
      </w:tr>
      <w:tr>
        <w:tc>
          <w:tcPr>
            <w:tcW w:type="dxa" w:w="2822"/>
          </w:tcPr>
          <w:p>
            <w:pPr>
              <w:spacing w:after="0"/>
            </w:pPr>
            <w:r/>
            <w:r>
              <w:rPr>
                <w:sz w:val="16"/>
              </w:rPr>
              <w:t>TotalBsmtSF</w:t>
            </w:r>
          </w:p>
        </w:tc>
        <w:tc>
          <w:tcPr>
            <w:tcW w:type="dxa" w:w="2469"/>
          </w:tcPr>
          <w:p>
            <w:pPr>
              <w:spacing w:after="0"/>
            </w:pPr>
            <w:r/>
            <w:r>
              <w:rPr>
                <w:sz w:val="16"/>
              </w:rPr>
              <w:t>2,052</w:t>
            </w:r>
          </w:p>
        </w:tc>
        <w:tc>
          <w:tcPr>
            <w:tcW w:type="dxa" w:w="2117"/>
          </w:tcPr>
          <w:p>
            <w:pPr>
              <w:spacing w:after="0"/>
            </w:pPr>
            <w:r/>
            <w:r>
              <w:rPr>
                <w:sz w:val="16"/>
              </w:rPr>
              <w:t>61</w:t>
            </w:r>
          </w:p>
        </w:tc>
        <w:tc>
          <w:tcPr>
            <w:tcW w:type="dxa" w:w="2117"/>
          </w:tcPr>
          <w:p>
            <w:pPr>
              <w:spacing w:after="0"/>
            </w:pPr>
            <w:r/>
            <w:r>
              <w:rPr>
                <w:sz w:val="16"/>
              </w:rPr>
              <w:t>6,110</w:t>
            </w:r>
          </w:p>
        </w:tc>
      </w:tr>
      <w:tr>
        <w:tc>
          <w:tcPr>
            <w:tcW w:type="dxa" w:w="2822"/>
          </w:tcPr>
          <w:p>
            <w:pPr>
              <w:spacing w:after="0"/>
            </w:pPr>
            <w:r/>
            <w:r>
              <w:rPr>
                <w:sz w:val="16"/>
              </w:rPr>
              <w:t>1stFlrSF</w:t>
            </w:r>
          </w:p>
        </w:tc>
        <w:tc>
          <w:tcPr>
            <w:tcW w:type="dxa" w:w="2469"/>
          </w:tcPr>
          <w:p>
            <w:pPr>
              <w:spacing w:after="0"/>
            </w:pPr>
            <w:r/>
            <w:r>
              <w:rPr>
                <w:sz w:val="16"/>
              </w:rPr>
              <w:t>2,155</w:t>
            </w:r>
          </w:p>
        </w:tc>
        <w:tc>
          <w:tcPr>
            <w:tcW w:type="dxa" w:w="2117"/>
          </w:tcPr>
          <w:p>
            <w:pPr>
              <w:spacing w:after="0"/>
            </w:pPr>
            <w:r/>
            <w:r>
              <w:rPr>
                <w:sz w:val="16"/>
              </w:rPr>
              <w:t>20</w:t>
            </w:r>
          </w:p>
        </w:tc>
        <w:tc>
          <w:tcPr>
            <w:tcW w:type="dxa" w:w="2117"/>
          </w:tcPr>
          <w:p>
            <w:pPr>
              <w:spacing w:after="0"/>
            </w:pPr>
            <w:r/>
            <w:r>
              <w:rPr>
                <w:sz w:val="16"/>
              </w:rPr>
              <w:t>4,692</w:t>
            </w:r>
          </w:p>
        </w:tc>
      </w:tr>
      <w:tr>
        <w:tc>
          <w:tcPr>
            <w:tcW w:type="dxa" w:w="2822"/>
          </w:tcPr>
          <w:p>
            <w:pPr>
              <w:spacing w:after="0"/>
            </w:pPr>
            <w:r/>
            <w:r>
              <w:rPr>
                <w:sz w:val="16"/>
              </w:rPr>
              <w:t>GarageArea</w:t>
            </w:r>
          </w:p>
        </w:tc>
        <w:tc>
          <w:tcPr>
            <w:tcW w:type="dxa" w:w="2469"/>
          </w:tcPr>
          <w:p>
            <w:pPr>
              <w:spacing w:after="0"/>
            </w:pPr>
            <w:r/>
            <w:r>
              <w:rPr>
                <w:sz w:val="16"/>
              </w:rPr>
              <w:t>938</w:t>
            </w:r>
          </w:p>
        </w:tc>
        <w:tc>
          <w:tcPr>
            <w:tcW w:type="dxa" w:w="2117"/>
          </w:tcPr>
          <w:p>
            <w:pPr>
              <w:spacing w:after="0"/>
            </w:pPr>
            <w:r/>
            <w:r>
              <w:rPr>
                <w:sz w:val="16"/>
              </w:rPr>
              <w:t>21</w:t>
            </w:r>
          </w:p>
        </w:tc>
        <w:tc>
          <w:tcPr>
            <w:tcW w:type="dxa" w:w="2117"/>
          </w:tcPr>
          <w:p>
            <w:pPr>
              <w:spacing w:after="0"/>
            </w:pPr>
            <w:r/>
            <w:r>
              <w:rPr>
                <w:sz w:val="16"/>
              </w:rPr>
              <w:t>1,418</w:t>
            </w:r>
          </w:p>
        </w:tc>
      </w:tr>
      <w:tr>
        <w:tc>
          <w:tcPr>
            <w:tcW w:type="dxa" w:w="2822"/>
          </w:tcPr>
          <w:p>
            <w:pPr>
              <w:spacing w:after="0"/>
            </w:pPr>
            <w:r/>
            <w:r>
              <w:rPr>
                <w:sz w:val="16"/>
              </w:rPr>
              <w:t>LotFrontage</w:t>
            </w:r>
          </w:p>
        </w:tc>
        <w:tc>
          <w:tcPr>
            <w:tcW w:type="dxa" w:w="2469"/>
          </w:tcPr>
          <w:p>
            <w:pPr>
              <w:spacing w:after="0"/>
            </w:pPr>
            <w:r/>
            <w:r>
              <w:rPr>
                <w:sz w:val="16"/>
              </w:rPr>
              <w:t>112</w:t>
            </w:r>
          </w:p>
        </w:tc>
        <w:tc>
          <w:tcPr>
            <w:tcW w:type="dxa" w:w="2117"/>
          </w:tcPr>
          <w:p>
            <w:pPr>
              <w:spacing w:after="0"/>
            </w:pPr>
            <w:r/>
            <w:r>
              <w:rPr>
                <w:sz w:val="16"/>
              </w:rPr>
              <w:t>88</w:t>
            </w:r>
          </w:p>
        </w:tc>
        <w:tc>
          <w:tcPr>
            <w:tcW w:type="dxa" w:w="2117"/>
          </w:tcPr>
          <w:p>
            <w:pPr>
              <w:spacing w:after="0"/>
            </w:pPr>
            <w:r/>
            <w:r>
              <w:rPr>
                <w:sz w:val="16"/>
              </w:rPr>
              <w:t>313</w:t>
            </w:r>
          </w:p>
        </w:tc>
      </w:tr>
      <w:tr>
        <w:tc>
          <w:tcPr>
            <w:tcW w:type="dxa" w:w="2822"/>
          </w:tcPr>
          <w:p>
            <w:pPr>
              <w:spacing w:after="0"/>
            </w:pPr>
            <w:r/>
            <w:r>
              <w:rPr>
                <w:sz w:val="16"/>
              </w:rPr>
              <w:t>MasVnrArea</w:t>
            </w:r>
          </w:p>
        </w:tc>
        <w:tc>
          <w:tcPr>
            <w:tcW w:type="dxa" w:w="2469"/>
          </w:tcPr>
          <w:p>
            <w:pPr>
              <w:spacing w:after="0"/>
            </w:pPr>
            <w:r/>
            <w:r>
              <w:rPr>
                <w:sz w:val="16"/>
              </w:rPr>
              <w:t>415</w:t>
            </w:r>
          </w:p>
        </w:tc>
        <w:tc>
          <w:tcPr>
            <w:tcW w:type="dxa" w:w="2117"/>
          </w:tcPr>
          <w:p>
            <w:pPr>
              <w:spacing w:after="0"/>
            </w:pPr>
            <w:r/>
            <w:r>
              <w:rPr>
                <w:sz w:val="16"/>
              </w:rPr>
              <w:t>96</w:t>
            </w:r>
          </w:p>
        </w:tc>
        <w:tc>
          <w:tcPr>
            <w:tcW w:type="dxa" w:w="2117"/>
          </w:tcPr>
          <w:p>
            <w:pPr>
              <w:spacing w:after="0"/>
            </w:pPr>
            <w:r/>
            <w:r>
              <w:rPr>
                <w:sz w:val="16"/>
              </w:rPr>
              <w:t>1,600</w:t>
            </w:r>
          </w:p>
        </w:tc>
      </w:tr>
    </w:tbl>
    <w:p>
      <w:pPr>
        <w:spacing w:after="80" w:before="0" w:line="264" w:lineRule="auto"/>
      </w:pPr>
    </w:p>
    <w:p>
      <w:pPr>
        <w:spacing w:after="20" w:before="0" w:line="264" w:lineRule="auto"/>
        <w:jc w:val="center"/>
      </w:pPr>
      <w:r>
        <w:drawing>
          <wp:inline xmlns:a="http://schemas.openxmlformats.org/drawingml/2006/main" xmlns:pic="http://schemas.openxmlformats.org/drawingml/2006/picture">
            <wp:extent cx="5760000" cy="1993846"/>
            <wp:docPr id="3" name="Picture 3"/>
            <wp:cNvGraphicFramePr>
              <a:graphicFrameLocks noChangeAspect="1"/>
            </wp:cNvGraphicFramePr>
            <a:graphic>
              <a:graphicData uri="http://schemas.openxmlformats.org/drawingml/2006/picture">
                <pic:pic>
                  <pic:nvPicPr>
                    <pic:cNvPr id="0" name="02_outliers.png"/>
                    <pic:cNvPicPr/>
                  </pic:nvPicPr>
                  <pic:blipFill>
                    <a:blip r:embed="rId11"/>
                    <a:stretch>
                      <a:fillRect/>
                    </a:stretch>
                  </pic:blipFill>
                  <pic:spPr>
                    <a:xfrm>
                      <a:off x="0" y="0"/>
                      <a:ext cx="5760000" cy="1993846"/>
                    </a:xfrm>
                    <a:prstGeom prst="rect"/>
                  </pic:spPr>
                </pic:pic>
              </a:graphicData>
            </a:graphic>
          </wp:inline>
        </w:drawing>
      </w:r>
    </w:p>
    <w:p>
      <w:pPr>
        <w:spacing w:after="100" w:before="0" w:line="264" w:lineRule="auto"/>
        <w:jc w:val="center"/>
      </w:pPr>
      <w:r>
        <w:rPr>
          <w:i/>
          <w:sz w:val="16"/>
        </w:rPr>
        <w:t>Figure 3 - Living area vs price (left) and spread of area columns (right)</w:t>
      </w:r>
    </w:p>
    <w:p>
      <w:pPr>
        <w:spacing w:after="30" w:before="0" w:line="264" w:lineRule="auto"/>
        <w:ind w:left="255" w:hanging="170"/>
      </w:pPr>
      <w:r>
        <w:rPr>
          <w:b w:val="0"/>
          <w:sz w:val="19"/>
        </w:rPr>
        <w:t xml:space="preserve">• </w:t>
      </w:r>
      <w:r>
        <w:rPr>
          <w:b/>
          <w:sz w:val="19"/>
        </w:rPr>
        <w:t>IQR-flagged rows were kept.</w:t>
      </w:r>
      <w:r>
        <w:rPr>
          <w:b w:val="0"/>
          <w:sz w:val="19"/>
        </w:rPr>
        <w:t xml:space="preserve"> Most are simply large or expensive houses, which are real data and the top of the market the model must learn. Their influence was reduced with the </w:t>
      </w:r>
      <w:r>
        <w:rPr>
          <w:b/>
          <w:sz w:val="19"/>
        </w:rPr>
        <w:t>log transforms</w:t>
      </w:r>
      <w:r>
        <w:rPr>
          <w:b w:val="0"/>
          <w:sz w:val="19"/>
        </w:rPr>
        <w:t xml:space="preserve"> described in 1.3.</w:t>
      </w:r>
    </w:p>
    <w:p>
      <w:pPr>
        <w:spacing w:after="30" w:before="0" w:line="264" w:lineRule="auto"/>
        <w:ind w:left="255" w:hanging="170"/>
      </w:pPr>
      <w:r>
        <w:rPr>
          <w:b w:val="0"/>
          <w:sz w:val="19"/>
        </w:rPr>
        <w:t xml:space="preserve">• </w:t>
      </w:r>
      <w:r>
        <w:rPr>
          <w:b/>
          <w:sz w:val="19"/>
        </w:rPr>
        <w:t>Two rows were removed (Ids 524, 1299).</w:t>
      </w:r>
      <w:r>
        <w:rPr>
          <w:b w:val="0"/>
          <w:sz w:val="19"/>
        </w:rPr>
        <w:t xml:space="preserve"> These are houses of more than 4,500 sq ft with quality 10 that sold for only $160k-185k. Both are </w:t>
      </w:r>
      <w:r>
        <w:rPr>
          <w:b/>
          <w:sz w:val="19"/>
        </w:rPr>
        <w:t>Partial</w:t>
      </w:r>
      <w:r>
        <w:rPr>
          <w:b w:val="0"/>
          <w:sz w:val="19"/>
        </w:rPr>
        <w:t xml:space="preserve"> sales in Edwards, meaning they were sold before completion, so the price does not reflect the house. The dataset's author also recommends removing them.</w:t>
      </w:r>
    </w:p>
    <w:p>
      <w:pPr>
        <w:spacing w:after="30" w:before="0" w:line="264" w:lineRule="auto"/>
        <w:ind w:left="255" w:hanging="170"/>
      </w:pPr>
      <w:r>
        <w:rPr>
          <w:b w:val="0"/>
          <w:sz w:val="19"/>
        </w:rPr>
        <w:t xml:space="preserve">• </w:t>
      </w:r>
      <w:r>
        <w:rPr>
          <w:b/>
          <w:sz w:val="19"/>
        </w:rPr>
        <w:t>The other two very large houses</w:t>
      </w:r>
      <w:r>
        <w:rPr>
          <w:b w:val="0"/>
          <w:sz w:val="19"/>
        </w:rPr>
        <w:t xml:space="preserve"> (over $700k) follow the size-price trend and were kept. This leaves </w:t>
      </w:r>
      <w:r>
        <w:rPr>
          <w:b/>
          <w:sz w:val="19"/>
        </w:rPr>
        <w:t>1,458 rows</w:t>
      </w:r>
      <w:r>
        <w:rPr>
          <w:b w:val="0"/>
          <w:sz w:val="19"/>
        </w:rPr>
        <w:t>.</w:t>
      </w:r>
    </w:p>
    <w:p>
      <w:pPr>
        <w:keepNext/>
        <w:spacing w:before="200" w:after="60"/>
      </w:pPr>
      <w:r>
        <w:rPr>
          <w:b/>
          <w:color w:val="1F3B57"/>
          <w:sz w:val="26"/>
        </w:rPr>
        <w:t>Task 2: Feature Engineering</w:t>
      </w:r>
    </w:p>
    <w:p>
      <w:pPr>
        <w:keepNext/>
        <w:spacing w:before="120" w:after="60"/>
      </w:pPr>
      <w:r>
        <w:rPr>
          <w:b/>
          <w:color w:val="1F3B57"/>
          <w:sz w:val="22"/>
        </w:rPr>
        <w:t>2.1 Creating Interaction Features</w:t>
      </w:r>
    </w:p>
    <w:p>
      <w:pPr>
        <w:spacing w:after="60" w:before="0" w:line="264" w:lineRule="auto"/>
      </w:pPr>
      <w:r>
        <w:rPr>
          <w:b w:val="0"/>
          <w:sz w:val="19"/>
        </w:rPr>
        <w:t>17 features were engineered, combining columns into quantities that buyers actually think about:</w:t>
      </w:r>
    </w:p>
    <w:tbl>
      <w:tblPr>
        <w:tblStyle w:val="TableGrid"/>
        <w:tblW w:type="auto" w:w="0"/>
        <w:tblLayout w:type="fixed"/>
        <w:tblLook w:firstColumn="1" w:firstRow="1" w:lastColumn="0" w:lastRow="0" w:noHBand="0" w:noVBand="1" w:val="04A0"/>
      </w:tblPr>
      <w:tblGrid>
        <w:gridCol w:w="2808"/>
        <w:gridCol w:w="3541"/>
        <w:gridCol w:w="3175"/>
      </w:tblGrid>
      <w:tr>
        <w:tc>
          <w:tcPr>
            <w:tcW w:type="dxa" w:w="2808"/>
            <w:shd w:val="clear" w:fill="1F3B57"/>
          </w:tcPr>
          <w:p>
            <w:pPr>
              <w:spacing w:after="0"/>
            </w:pPr>
            <w:r/>
            <w:r>
              <w:rPr>
                <w:b/>
                <w:color w:val="FFFFFF"/>
                <w:sz w:val="16"/>
              </w:rPr>
              <w:t>Feature</w:t>
            </w:r>
          </w:p>
        </w:tc>
        <w:tc>
          <w:tcPr>
            <w:tcW w:type="dxa" w:w="3541"/>
            <w:shd w:val="clear" w:fill="1F3B57"/>
          </w:tcPr>
          <w:p>
            <w:pPr>
              <w:spacing w:after="0"/>
            </w:pPr>
            <w:r/>
            <w:r>
              <w:rPr>
                <w:b/>
                <w:color w:val="FFFFFF"/>
                <w:sz w:val="16"/>
              </w:rPr>
              <w:t>Formula</w:t>
            </w:r>
          </w:p>
        </w:tc>
        <w:tc>
          <w:tcPr>
            <w:tcW w:type="dxa" w:w="3175"/>
            <w:shd w:val="clear" w:fill="1F3B57"/>
          </w:tcPr>
          <w:p>
            <w:pPr>
              <w:spacing w:after="0"/>
            </w:pPr>
            <w:r/>
            <w:r>
              <w:rPr>
                <w:b/>
                <w:color w:val="FFFFFF"/>
                <w:sz w:val="16"/>
              </w:rPr>
              <w:t>Why it helps</w:t>
            </w:r>
          </w:p>
        </w:tc>
      </w:tr>
      <w:tr>
        <w:tc>
          <w:tcPr>
            <w:tcW w:type="dxa" w:w="2808"/>
          </w:tcPr>
          <w:p>
            <w:pPr>
              <w:spacing w:after="0"/>
            </w:pPr>
            <w:r/>
            <w:r>
              <w:rPr>
                <w:sz w:val="16"/>
              </w:rPr>
              <w:t>TotalSF</w:t>
            </w:r>
          </w:p>
        </w:tc>
        <w:tc>
          <w:tcPr>
            <w:tcW w:type="dxa" w:w="3541"/>
          </w:tcPr>
          <w:p>
            <w:pPr>
              <w:spacing w:after="0"/>
            </w:pPr>
            <w:r/>
            <w:r>
              <w:rPr>
                <w:sz w:val="16"/>
              </w:rPr>
              <w:t>TotalBsmtSF + 1stFlrSF + 2ndFlrSF</w:t>
            </w:r>
          </w:p>
        </w:tc>
        <w:tc>
          <w:tcPr>
            <w:tcW w:type="dxa" w:w="3175"/>
          </w:tcPr>
          <w:p>
            <w:pPr>
              <w:spacing w:after="0"/>
            </w:pPr>
            <w:r/>
            <w:r>
              <w:rPr>
                <w:sz w:val="16"/>
              </w:rPr>
              <w:t>Total usable space</w:t>
            </w:r>
          </w:p>
        </w:tc>
      </w:tr>
      <w:tr>
        <w:tc>
          <w:tcPr>
            <w:tcW w:type="dxa" w:w="2808"/>
          </w:tcPr>
          <w:p>
            <w:pPr>
              <w:spacing w:after="0"/>
            </w:pPr>
            <w:r/>
            <w:r>
              <w:rPr>
                <w:sz w:val="16"/>
              </w:rPr>
              <w:t>Qual_x_TotalSF / Qual_x_LivArea</w:t>
            </w:r>
          </w:p>
        </w:tc>
        <w:tc>
          <w:tcPr>
            <w:tcW w:type="dxa" w:w="3541"/>
          </w:tcPr>
          <w:p>
            <w:pPr>
              <w:spacing w:after="0"/>
            </w:pPr>
            <w:r/>
            <w:r>
              <w:rPr>
                <w:sz w:val="16"/>
              </w:rPr>
              <w:t>OverallQual x TotalSF / x GrLivArea</w:t>
            </w:r>
          </w:p>
        </w:tc>
        <w:tc>
          <w:tcPr>
            <w:tcW w:type="dxa" w:w="3175"/>
          </w:tcPr>
          <w:p>
            <w:pPr>
              <w:spacing w:after="0"/>
            </w:pPr>
            <w:r/>
            <w:r>
              <w:rPr>
                <w:sz w:val="16"/>
              </w:rPr>
              <w:t>Size is worth more when quality is high</w:t>
            </w:r>
          </w:p>
        </w:tc>
      </w:tr>
      <w:tr>
        <w:tc>
          <w:tcPr>
            <w:tcW w:type="dxa" w:w="2808"/>
          </w:tcPr>
          <w:p>
            <w:pPr>
              <w:spacing w:after="0"/>
            </w:pPr>
            <w:r/>
            <w:r>
              <w:rPr>
                <w:sz w:val="16"/>
              </w:rPr>
              <w:t>Kitchen_x_Qual</w:t>
            </w:r>
          </w:p>
        </w:tc>
        <w:tc>
          <w:tcPr>
            <w:tcW w:type="dxa" w:w="3541"/>
          </w:tcPr>
          <w:p>
            <w:pPr>
              <w:spacing w:after="0"/>
            </w:pPr>
            <w:r/>
            <w:r>
              <w:rPr>
                <w:sz w:val="16"/>
              </w:rPr>
              <w:t>KitchenQual score x OverallQual</w:t>
            </w:r>
          </w:p>
        </w:tc>
        <w:tc>
          <w:tcPr>
            <w:tcW w:type="dxa" w:w="3175"/>
          </w:tcPr>
          <w:p>
            <w:pPr>
              <w:spacing w:after="0"/>
            </w:pPr>
            <w:r/>
            <w:r>
              <w:rPr>
                <w:sz w:val="16"/>
              </w:rPr>
              <w:t>Kitchens drive buyer decisions</w:t>
            </w:r>
          </w:p>
        </w:tc>
      </w:tr>
      <w:tr>
        <w:tc>
          <w:tcPr>
            <w:tcW w:type="dxa" w:w="2808"/>
          </w:tcPr>
          <w:p>
            <w:pPr>
              <w:spacing w:after="0"/>
            </w:pPr>
            <w:r/>
            <w:r>
              <w:rPr>
                <w:sz w:val="16"/>
              </w:rPr>
              <w:t>Qual_x_Cond</w:t>
            </w:r>
          </w:p>
        </w:tc>
        <w:tc>
          <w:tcPr>
            <w:tcW w:type="dxa" w:w="3541"/>
          </w:tcPr>
          <w:p>
            <w:pPr>
              <w:spacing w:after="0"/>
            </w:pPr>
            <w:r/>
            <w:r>
              <w:rPr>
                <w:sz w:val="16"/>
              </w:rPr>
              <w:t>OverallQual x OverallCond</w:t>
            </w:r>
          </w:p>
        </w:tc>
        <w:tc>
          <w:tcPr>
            <w:tcW w:type="dxa" w:w="3175"/>
          </w:tcPr>
          <w:p>
            <w:pPr>
              <w:spacing w:after="0"/>
            </w:pPr>
            <w:r/>
            <w:r>
              <w:rPr>
                <w:sz w:val="16"/>
              </w:rPr>
              <w:t>Good materials that are also well kept</w:t>
            </w:r>
          </w:p>
        </w:tc>
      </w:tr>
      <w:tr>
        <w:tc>
          <w:tcPr>
            <w:tcW w:type="dxa" w:w="2808"/>
          </w:tcPr>
          <w:p>
            <w:pPr>
              <w:spacing w:after="0"/>
            </w:pPr>
            <w:r/>
            <w:r>
              <w:rPr>
                <w:sz w:val="16"/>
              </w:rPr>
              <w:t>Garage_x_Qual</w:t>
            </w:r>
          </w:p>
        </w:tc>
        <w:tc>
          <w:tcPr>
            <w:tcW w:type="dxa" w:w="3541"/>
          </w:tcPr>
          <w:p>
            <w:pPr>
              <w:spacing w:after="0"/>
            </w:pPr>
            <w:r/>
            <w:r>
              <w:rPr>
                <w:sz w:val="16"/>
              </w:rPr>
              <w:t>GarageCars x GarageQual score</w:t>
            </w:r>
          </w:p>
        </w:tc>
        <w:tc>
          <w:tcPr>
            <w:tcW w:type="dxa" w:w="3175"/>
          </w:tcPr>
          <w:p>
            <w:pPr>
              <w:spacing w:after="0"/>
            </w:pPr>
            <w:r/>
            <w:r>
              <w:rPr>
                <w:sz w:val="16"/>
              </w:rPr>
              <w:t>Capacity only counts if in good shape</w:t>
            </w:r>
          </w:p>
        </w:tc>
      </w:tr>
      <w:tr>
        <w:tc>
          <w:tcPr>
            <w:tcW w:type="dxa" w:w="2808"/>
          </w:tcPr>
          <w:p>
            <w:pPr>
              <w:spacing w:after="0"/>
            </w:pPr>
            <w:r/>
            <w:r>
              <w:rPr>
                <w:sz w:val="16"/>
              </w:rPr>
              <w:t>TotalBath</w:t>
            </w:r>
          </w:p>
        </w:tc>
        <w:tc>
          <w:tcPr>
            <w:tcW w:type="dxa" w:w="3541"/>
          </w:tcPr>
          <w:p>
            <w:pPr>
              <w:spacing w:after="0"/>
            </w:pPr>
            <w:r/>
            <w:r>
              <w:rPr>
                <w:sz w:val="16"/>
              </w:rPr>
              <w:t>Full + 0.5 Half + BsmtFull + 0.5 BsmtHalf</w:t>
            </w:r>
          </w:p>
        </w:tc>
        <w:tc>
          <w:tcPr>
            <w:tcW w:type="dxa" w:w="3175"/>
          </w:tcPr>
          <w:p>
            <w:pPr>
              <w:spacing w:after="0"/>
            </w:pPr>
            <w:r/>
            <w:r>
              <w:rPr>
                <w:sz w:val="16"/>
              </w:rPr>
              <w:t>All bathrooms in one count</w:t>
            </w:r>
          </w:p>
        </w:tc>
      </w:tr>
      <w:tr>
        <w:tc>
          <w:tcPr>
            <w:tcW w:type="dxa" w:w="2808"/>
          </w:tcPr>
          <w:p>
            <w:pPr>
              <w:spacing w:after="0"/>
            </w:pPr>
            <w:r/>
            <w:r>
              <w:rPr>
                <w:sz w:val="16"/>
              </w:rPr>
              <w:t>HouseAge / RemodAge / IsRemodeled</w:t>
            </w:r>
          </w:p>
        </w:tc>
        <w:tc>
          <w:tcPr>
            <w:tcW w:type="dxa" w:w="3541"/>
          </w:tcPr>
          <w:p>
            <w:pPr>
              <w:spacing w:after="0"/>
            </w:pPr>
            <w:r/>
            <w:r>
              <w:rPr>
                <w:sz w:val="16"/>
              </w:rPr>
              <w:t>YrSold - YearBuilt / - YearRemodAdd / flag</w:t>
            </w:r>
          </w:p>
        </w:tc>
        <w:tc>
          <w:tcPr>
            <w:tcW w:type="dxa" w:w="3175"/>
          </w:tcPr>
          <w:p>
            <w:pPr>
              <w:spacing w:after="0"/>
            </w:pPr>
            <w:r/>
            <w:r>
              <w:rPr>
                <w:sz w:val="16"/>
              </w:rPr>
              <w:t>Age at time of sale; renovation</w:t>
            </w:r>
          </w:p>
        </w:tc>
      </w:tr>
      <w:tr>
        <w:tc>
          <w:tcPr>
            <w:tcW w:type="dxa" w:w="2808"/>
          </w:tcPr>
          <w:p>
            <w:pPr>
              <w:spacing w:after="0"/>
            </w:pPr>
            <w:r/>
            <w:r>
              <w:rPr>
                <w:sz w:val="16"/>
              </w:rPr>
              <w:t>TotalPorchSF, LotArea_per_SF</w:t>
            </w:r>
          </w:p>
        </w:tc>
        <w:tc>
          <w:tcPr>
            <w:tcW w:type="dxa" w:w="3541"/>
          </w:tcPr>
          <w:p>
            <w:pPr>
              <w:spacing w:after="0"/>
            </w:pPr>
            <w:r/>
            <w:r>
              <w:rPr>
                <w:sz w:val="16"/>
              </w:rPr>
              <w:t>Sum of porch areas; LotArea / TotalSF</w:t>
            </w:r>
          </w:p>
        </w:tc>
        <w:tc>
          <w:tcPr>
            <w:tcW w:type="dxa" w:w="3175"/>
          </w:tcPr>
          <w:p>
            <w:pPr>
              <w:spacing w:after="0"/>
            </w:pPr>
            <w:r/>
            <w:r>
              <w:rPr>
                <w:sz w:val="16"/>
              </w:rPr>
              <w:t>Outdoor space; land per sq ft</w:t>
            </w:r>
          </w:p>
        </w:tc>
      </w:tr>
      <w:tr>
        <w:tc>
          <w:tcPr>
            <w:tcW w:type="dxa" w:w="2808"/>
          </w:tcPr>
          <w:p>
            <w:pPr>
              <w:spacing w:after="0"/>
            </w:pPr>
            <w:r/>
            <w:r>
              <w:rPr>
                <w:sz w:val="16"/>
              </w:rPr>
              <w:t>HasGarage, HasBsmt, HasFireplace, Has2ndFlr, HasPool</w:t>
            </w:r>
          </w:p>
        </w:tc>
        <w:tc>
          <w:tcPr>
            <w:tcW w:type="dxa" w:w="3541"/>
          </w:tcPr>
          <w:p>
            <w:pPr>
              <w:spacing w:after="0"/>
            </w:pPr>
            <w:r/>
            <w:r>
              <w:rPr>
                <w:sz w:val="16"/>
              </w:rPr>
              <w:t>area/count &gt; 0</w:t>
            </w:r>
          </w:p>
        </w:tc>
        <w:tc>
          <w:tcPr>
            <w:tcW w:type="dxa" w:w="3175"/>
          </w:tcPr>
          <w:p>
            <w:pPr>
              <w:spacing w:after="0"/>
            </w:pPr>
            <w:r/>
            <w:r>
              <w:rPr>
                <w:sz w:val="16"/>
              </w:rPr>
              <w:t>Presence of each facility</w:t>
            </w:r>
          </w:p>
        </w:tc>
      </w:tr>
    </w:tbl>
    <w:p>
      <w:pPr>
        <w:spacing w:after="80" w:before="0" w:line="264" w:lineRule="auto"/>
      </w:pPr>
    </w:p>
    <w:p>
      <w:pPr>
        <w:spacing w:after="60" w:before="0" w:line="264" w:lineRule="auto"/>
      </w:pPr>
      <w:r>
        <w:rPr>
          <w:b/>
          <w:sz w:val="19"/>
        </w:rPr>
        <w:t>Evidence that they help.</w:t>
      </w:r>
      <w:r>
        <w:rPr>
          <w:b w:val="0"/>
          <w:sz w:val="19"/>
        </w:rPr>
        <w:t xml:space="preserve"> First, the correlations with log price: Qual_x_TotalSF reaches </w:t>
      </w:r>
      <w:r>
        <w:rPr>
          <w:b/>
          <w:sz w:val="19"/>
        </w:rPr>
        <w:t>r = 0.88</w:t>
      </w:r>
      <w:r>
        <w:rPr>
          <w:b w:val="0"/>
          <w:sz w:val="19"/>
        </w:rPr>
        <w:t xml:space="preserve"> and Qual_x_LivArea 0.84, both higher than OverallQual (0.81) or GrLivArea (0.73). Second, an </w:t>
      </w:r>
      <w:r>
        <w:rPr>
          <w:b/>
          <w:sz w:val="19"/>
        </w:rPr>
        <w:t>ablation test</w:t>
      </w:r>
      <w:r>
        <w:rPr>
          <w:b w:val="0"/>
          <w:sz w:val="19"/>
        </w:rPr>
        <w:t>: each tuned booster was cross-validated with and without the interaction features.</w:t>
      </w:r>
    </w:p>
    <w:tbl>
      <w:tblPr>
        <w:tblStyle w:val="TableGrid"/>
        <w:tblW w:type="auto" w:w="0"/>
        <w:tblLayout w:type="fixed"/>
        <w:tblLook w:firstColumn="1" w:firstRow="1" w:lastColumn="0" w:lastRow="0" w:noHBand="0" w:noVBand="1" w:val="04A0"/>
      </w:tblPr>
      <w:tblGrid>
        <w:gridCol w:w="2320"/>
        <w:gridCol w:w="2015"/>
        <w:gridCol w:w="2015"/>
        <w:gridCol w:w="1526"/>
        <w:gridCol w:w="1648"/>
      </w:tblGrid>
      <w:tr>
        <w:tc>
          <w:tcPr>
            <w:tcW w:type="dxa" w:w="2320"/>
            <w:shd w:val="clear" w:fill="1F3B57"/>
          </w:tcPr>
          <w:p>
            <w:pPr>
              <w:spacing w:after="0"/>
            </w:pPr>
            <w:r/>
            <w:r>
              <w:rPr>
                <w:b/>
                <w:color w:val="FFFFFF"/>
                <w:sz w:val="16"/>
              </w:rPr>
              <w:t>Model</w:t>
            </w:r>
          </w:p>
        </w:tc>
        <w:tc>
          <w:tcPr>
            <w:tcW w:type="dxa" w:w="2015"/>
            <w:shd w:val="clear" w:fill="1F3B57"/>
          </w:tcPr>
          <w:p>
            <w:pPr>
              <w:spacing w:after="0"/>
            </w:pPr>
            <w:r/>
            <w:r>
              <w:rPr>
                <w:b/>
                <w:color w:val="FFFFFF"/>
                <w:sz w:val="16"/>
              </w:rPr>
              <w:t>CV RMSE (log) without</w:t>
            </w:r>
          </w:p>
        </w:tc>
        <w:tc>
          <w:tcPr>
            <w:tcW w:type="dxa" w:w="2015"/>
            <w:shd w:val="clear" w:fill="1F3B57"/>
          </w:tcPr>
          <w:p>
            <w:pPr>
              <w:spacing w:after="0"/>
            </w:pPr>
            <w:r/>
            <w:r>
              <w:rPr>
                <w:b/>
                <w:color w:val="FFFFFF"/>
                <w:sz w:val="16"/>
              </w:rPr>
              <w:t>CV RMSE (log) with</w:t>
            </w:r>
          </w:p>
        </w:tc>
        <w:tc>
          <w:tcPr>
            <w:tcW w:type="dxa" w:w="1526"/>
            <w:shd w:val="clear" w:fill="1F3B57"/>
          </w:tcPr>
          <w:p>
            <w:pPr>
              <w:spacing w:after="0"/>
            </w:pPr>
            <w:r/>
            <w:r>
              <w:rPr>
                <w:b/>
                <w:color w:val="FFFFFF"/>
                <w:sz w:val="16"/>
              </w:rPr>
              <w:t>Improvement</w:t>
            </w:r>
          </w:p>
        </w:tc>
        <w:tc>
          <w:tcPr>
            <w:tcW w:type="dxa" w:w="1648"/>
            <w:shd w:val="clear" w:fill="1F3B57"/>
          </w:tcPr>
          <w:p>
            <w:pPr>
              <w:spacing w:after="0"/>
            </w:pPr>
            <w:r/>
            <w:r>
              <w:rPr>
                <w:b/>
                <w:color w:val="FFFFFF"/>
                <w:sz w:val="16"/>
              </w:rPr>
              <w:t>Folds improved</w:t>
            </w:r>
          </w:p>
        </w:tc>
      </w:tr>
      <w:tr>
        <w:tc>
          <w:tcPr>
            <w:tcW w:type="dxa" w:w="2320"/>
          </w:tcPr>
          <w:p>
            <w:pPr>
              <w:spacing w:after="0"/>
            </w:pPr>
            <w:r/>
            <w:r>
              <w:rPr>
                <w:sz w:val="16"/>
              </w:rPr>
              <w:t>XGBoost</w:t>
            </w:r>
          </w:p>
        </w:tc>
        <w:tc>
          <w:tcPr>
            <w:tcW w:type="dxa" w:w="2015"/>
          </w:tcPr>
          <w:p>
            <w:pPr>
              <w:spacing w:after="0"/>
            </w:pPr>
            <w:r/>
            <w:r>
              <w:rPr>
                <w:sz w:val="16"/>
              </w:rPr>
              <w:t>0.1146</w:t>
            </w:r>
          </w:p>
        </w:tc>
        <w:tc>
          <w:tcPr>
            <w:tcW w:type="dxa" w:w="2015"/>
          </w:tcPr>
          <w:p>
            <w:pPr>
              <w:spacing w:after="0"/>
            </w:pPr>
            <w:r/>
            <w:r>
              <w:rPr>
                <w:sz w:val="16"/>
              </w:rPr>
              <w:t>0.1108</w:t>
            </w:r>
          </w:p>
        </w:tc>
        <w:tc>
          <w:tcPr>
            <w:tcW w:type="dxa" w:w="1526"/>
          </w:tcPr>
          <w:p>
            <w:pPr>
              <w:spacing w:after="0"/>
            </w:pPr>
            <w:r/>
            <w:r>
              <w:rPr>
                <w:sz w:val="16"/>
              </w:rPr>
              <w:t>+3.3%</w:t>
            </w:r>
          </w:p>
        </w:tc>
        <w:tc>
          <w:tcPr>
            <w:tcW w:type="dxa" w:w="1648"/>
          </w:tcPr>
          <w:p>
            <w:pPr>
              <w:spacing w:after="0"/>
            </w:pPr>
            <w:r/>
            <w:r>
              <w:rPr>
                <w:sz w:val="16"/>
              </w:rPr>
              <w:t>5/5</w:t>
            </w:r>
          </w:p>
        </w:tc>
      </w:tr>
      <w:tr>
        <w:tc>
          <w:tcPr>
            <w:tcW w:type="dxa" w:w="2320"/>
          </w:tcPr>
          <w:p>
            <w:pPr>
              <w:spacing w:after="0"/>
            </w:pPr>
            <w:r/>
            <w:r>
              <w:rPr>
                <w:sz w:val="16"/>
              </w:rPr>
              <w:t>LightGBM</w:t>
            </w:r>
          </w:p>
        </w:tc>
        <w:tc>
          <w:tcPr>
            <w:tcW w:type="dxa" w:w="2015"/>
          </w:tcPr>
          <w:p>
            <w:pPr>
              <w:spacing w:after="0"/>
            </w:pPr>
            <w:r/>
            <w:r>
              <w:rPr>
                <w:sz w:val="16"/>
              </w:rPr>
              <w:t>0.1174</w:t>
            </w:r>
          </w:p>
        </w:tc>
        <w:tc>
          <w:tcPr>
            <w:tcW w:type="dxa" w:w="2015"/>
          </w:tcPr>
          <w:p>
            <w:pPr>
              <w:spacing w:after="0"/>
            </w:pPr>
            <w:r/>
            <w:r>
              <w:rPr>
                <w:sz w:val="16"/>
              </w:rPr>
              <w:t>0.1127</w:t>
            </w:r>
          </w:p>
        </w:tc>
        <w:tc>
          <w:tcPr>
            <w:tcW w:type="dxa" w:w="1526"/>
          </w:tcPr>
          <w:p>
            <w:pPr>
              <w:spacing w:after="0"/>
            </w:pPr>
            <w:r/>
            <w:r>
              <w:rPr>
                <w:sz w:val="16"/>
              </w:rPr>
              <w:t>+4.0%</w:t>
            </w:r>
          </w:p>
        </w:tc>
        <w:tc>
          <w:tcPr>
            <w:tcW w:type="dxa" w:w="1648"/>
          </w:tcPr>
          <w:p>
            <w:pPr>
              <w:spacing w:after="0"/>
            </w:pPr>
            <w:r/>
            <w:r>
              <w:rPr>
                <w:sz w:val="16"/>
              </w:rPr>
              <w:t>5/5</w:t>
            </w:r>
          </w:p>
        </w:tc>
      </w:tr>
      <w:tr>
        <w:tc>
          <w:tcPr>
            <w:tcW w:type="dxa" w:w="2320"/>
          </w:tcPr>
          <w:p>
            <w:pPr>
              <w:spacing w:after="0"/>
            </w:pPr>
            <w:r/>
            <w:r>
              <w:rPr>
                <w:sz w:val="16"/>
              </w:rPr>
              <w:t>CatBoost</w:t>
            </w:r>
          </w:p>
        </w:tc>
        <w:tc>
          <w:tcPr>
            <w:tcW w:type="dxa" w:w="2015"/>
          </w:tcPr>
          <w:p>
            <w:pPr>
              <w:spacing w:after="0"/>
            </w:pPr>
            <w:r/>
            <w:r>
              <w:rPr>
                <w:sz w:val="16"/>
              </w:rPr>
              <w:t>0.1116</w:t>
            </w:r>
          </w:p>
        </w:tc>
        <w:tc>
          <w:tcPr>
            <w:tcW w:type="dxa" w:w="2015"/>
          </w:tcPr>
          <w:p>
            <w:pPr>
              <w:spacing w:after="0"/>
            </w:pPr>
            <w:r/>
            <w:r>
              <w:rPr>
                <w:sz w:val="16"/>
              </w:rPr>
              <w:t>0.1089</w:t>
            </w:r>
          </w:p>
        </w:tc>
        <w:tc>
          <w:tcPr>
            <w:tcW w:type="dxa" w:w="1526"/>
          </w:tcPr>
          <w:p>
            <w:pPr>
              <w:spacing w:after="0"/>
            </w:pPr>
            <w:r/>
            <w:r>
              <w:rPr>
                <w:sz w:val="16"/>
              </w:rPr>
              <w:t>+2.5%</w:t>
            </w:r>
          </w:p>
        </w:tc>
        <w:tc>
          <w:tcPr>
            <w:tcW w:type="dxa" w:w="1648"/>
          </w:tcPr>
          <w:p>
            <w:pPr>
              <w:spacing w:after="0"/>
            </w:pPr>
            <w:r/>
            <w:r>
              <w:rPr>
                <w:sz w:val="16"/>
              </w:rPr>
              <w:t>5/5</w:t>
            </w:r>
          </w:p>
        </w:tc>
      </w:tr>
      <w:tr>
        <w:tc>
          <w:tcPr>
            <w:tcW w:type="dxa" w:w="2320"/>
          </w:tcPr>
          <w:p>
            <w:pPr>
              <w:spacing w:after="0"/>
            </w:pPr>
            <w:r/>
            <w:r>
              <w:rPr>
                <w:sz w:val="16"/>
              </w:rPr>
              <w:t>Ridge (baseline)</w:t>
            </w:r>
          </w:p>
        </w:tc>
        <w:tc>
          <w:tcPr>
            <w:tcW w:type="dxa" w:w="2015"/>
          </w:tcPr>
          <w:p>
            <w:pPr>
              <w:spacing w:after="0"/>
            </w:pPr>
            <w:r/>
            <w:r>
              <w:rPr>
                <w:sz w:val="16"/>
              </w:rPr>
              <w:t>0.1144</w:t>
            </w:r>
          </w:p>
        </w:tc>
        <w:tc>
          <w:tcPr>
            <w:tcW w:type="dxa" w:w="2015"/>
          </w:tcPr>
          <w:p>
            <w:pPr>
              <w:spacing w:after="0"/>
            </w:pPr>
            <w:r/>
            <w:r>
              <w:rPr>
                <w:sz w:val="16"/>
              </w:rPr>
              <w:t>0.1146</w:t>
            </w:r>
          </w:p>
        </w:tc>
        <w:tc>
          <w:tcPr>
            <w:tcW w:type="dxa" w:w="1526"/>
          </w:tcPr>
          <w:p>
            <w:pPr>
              <w:spacing w:after="0"/>
            </w:pPr>
            <w:r/>
            <w:r>
              <w:rPr>
                <w:sz w:val="16"/>
              </w:rPr>
              <w:t>-0.2%</w:t>
            </w:r>
          </w:p>
        </w:tc>
        <w:tc>
          <w:tcPr>
            <w:tcW w:type="dxa" w:w="1648"/>
          </w:tcPr>
          <w:p>
            <w:pPr>
              <w:spacing w:after="0"/>
            </w:pPr>
            <w:r/>
            <w:r>
              <w:rPr>
                <w:sz w:val="16"/>
              </w:rPr>
              <w:t>2/5</w:t>
            </w:r>
          </w:p>
        </w:tc>
      </w:tr>
    </w:tbl>
    <w:p>
      <w:pPr>
        <w:spacing w:after="80" w:before="0" w:line="264" w:lineRule="auto"/>
      </w:pPr>
    </w:p>
    <w:p>
      <w:pPr>
        <w:spacing w:after="60" w:before="0" w:line="264" w:lineRule="auto"/>
      </w:pPr>
      <w:r>
        <w:rPr>
          <w:b w:val="0"/>
          <w:sz w:val="19"/>
        </w:rPr>
        <w:t xml:space="preserve">The interactions improve </w:t>
      </w:r>
      <w:r>
        <w:rPr>
          <w:b/>
          <w:sz w:val="19"/>
        </w:rPr>
        <w:t>all three boosters</w:t>
      </w:r>
      <w:r>
        <w:rPr>
          <w:b w:val="0"/>
          <w:sz w:val="19"/>
        </w:rPr>
        <w:t xml:space="preserve"> by 2.5-4.0%, and </w:t>
      </w:r>
      <w:r>
        <w:rPr>
          <w:b/>
          <w:sz w:val="19"/>
        </w:rPr>
        <w:t>in every one of the 5 folds</w:t>
      </w:r>
      <w:r>
        <w:rPr>
          <w:b w:val="0"/>
          <w:sz w:val="19"/>
        </w:rPr>
        <w:t>. They are also the top features in all three models (Figure 14). They don't help Ridge, because Ridge works on log-transformed inputs: log(quality) + log(area) already captures the same multiplication.</w:t>
      </w:r>
    </w:p>
    <w:p>
      <w:pPr>
        <w:spacing w:after="20" w:before="0" w:line="264" w:lineRule="auto"/>
      </w:pPr>
      <w:r>
        <w:rPr>
          <w:i/>
          <w:sz w:val="16"/>
        </w:rPr>
        <w:t>Code snippet (notebook section 2.1)</w:t>
      </w:r>
    </w:p>
    <w:p>
      <w:pPr>
        <w:spacing w:after="100" w:before="0" w:line="240" w:lineRule="auto"/>
        <w:shd w:val="clear" w:color="auto" w:fill="F2F4F7"/>
      </w:pPr>
      <w:r>
        <w:rPr>
          <w:rFonts w:ascii="Courier New" w:hAnsi="Courier New" w:eastAsia="Courier New"/>
          <w:sz w:val="15"/>
        </w:rPr>
        <w:t>d["TotalSF"] = d["TotalBsmtSF"] + d["1stFlrSF"] + d["2ndFlrSF"]</w:t>
        <w:br/>
      </w:r>
      <w:r>
        <w:rPr>
          <w:rFonts w:ascii="Courier New" w:hAnsi="Courier New" w:eastAsia="Courier New"/>
          <w:sz w:val="15"/>
        </w:rPr>
        <w:t>d["Qual_x_TotalSF"] = d["OverallQual"] * d["TotalSF"]</w:t>
        <w:br/>
      </w:r>
      <w:r>
        <w:rPr>
          <w:rFonts w:ascii="Courier New" w:hAnsi="Courier New" w:eastAsia="Courier New"/>
          <w:sz w:val="15"/>
        </w:rPr>
        <w:t>d["Kitchen_x_Qual"] = d["KitchenQual"].map(QUAL_MAP) * d["OverallQual"]</w:t>
        <w:br/>
      </w:r>
      <w:r>
        <w:rPr>
          <w:rFonts w:ascii="Courier New" w:hAnsi="Courier New" w:eastAsia="Courier New"/>
          <w:sz w:val="15"/>
        </w:rPr>
        <w:t>d["TotalBath"] = d["FullBath"] + 0.5*d["HalfBath"] + d["BsmtFullBath"] + 0.5*d["BsmtHalfBath"]</w:t>
        <w:br/>
      </w:r>
      <w:r>
        <w:rPr>
          <w:rFonts w:ascii="Courier New" w:hAnsi="Courier New" w:eastAsia="Courier New"/>
          <w:sz w:val="15"/>
        </w:rPr>
        <w:t>d["HouseAge"] = (d["YrSold"] - d["YearBuilt"]).clip(lower=0)</w:t>
      </w:r>
    </w:p>
    <w:p>
      <w:pPr>
        <w:keepNext/>
        <w:spacing w:before="120" w:after="60"/>
      </w:pPr>
      <w:r>
        <w:rPr>
          <w:b/>
          <w:color w:val="1F3B57"/>
          <w:sz w:val="22"/>
        </w:rPr>
        <w:t>2.2 Feature Binning</w:t>
      </w:r>
    </w:p>
    <w:p>
      <w:pPr>
        <w:spacing w:after="60" w:before="0" w:line="264" w:lineRule="auto"/>
      </w:pPr>
      <w:r>
        <w:rPr>
          <w:b w:val="0"/>
          <w:sz w:val="19"/>
        </w:rPr>
        <w:t>Five continuous variables were binned into labelled groups that a non-technical user can read easily. The edges are fixed domain boundaries, except SizeBand, which uses training-set quartiles.</w:t>
      </w:r>
    </w:p>
    <w:tbl>
      <w:tblPr>
        <w:tblStyle w:val="TableGrid"/>
        <w:tblW w:type="auto" w:w="0"/>
        <w:tblLayout w:type="fixed"/>
        <w:tblLook w:firstColumn="1" w:firstRow="1" w:lastColumn="0" w:lastRow="0" w:noHBand="0" w:noVBand="1" w:val="04A0"/>
      </w:tblPr>
      <w:tblGrid>
        <w:gridCol w:w="1343"/>
        <w:gridCol w:w="2931"/>
        <w:gridCol w:w="5251"/>
      </w:tblGrid>
      <w:tr>
        <w:tc>
          <w:tcPr>
            <w:tcW w:type="dxa" w:w="1343"/>
            <w:shd w:val="clear" w:fill="1F3B57"/>
          </w:tcPr>
          <w:p>
            <w:pPr>
              <w:spacing w:after="0"/>
            </w:pPr>
            <w:r/>
            <w:r>
              <w:rPr>
                <w:b/>
                <w:color w:val="FFFFFF"/>
                <w:sz w:val="16"/>
              </w:rPr>
              <w:t>Bin</w:t>
            </w:r>
          </w:p>
        </w:tc>
        <w:tc>
          <w:tcPr>
            <w:tcW w:type="dxa" w:w="2931"/>
            <w:shd w:val="clear" w:fill="1F3B57"/>
          </w:tcPr>
          <w:p>
            <w:pPr>
              <w:spacing w:after="0"/>
            </w:pPr>
            <w:r/>
            <w:r>
              <w:rPr>
                <w:b/>
                <w:color w:val="FFFFFF"/>
                <w:sz w:val="16"/>
              </w:rPr>
              <w:t>Edges</w:t>
            </w:r>
          </w:p>
        </w:tc>
        <w:tc>
          <w:tcPr>
            <w:tcW w:type="dxa" w:w="5251"/>
            <w:shd w:val="clear" w:fill="1F3B57"/>
          </w:tcPr>
          <w:p>
            <w:pPr>
              <w:spacing w:after="0"/>
            </w:pPr>
            <w:r/>
            <w:r>
              <w:rPr>
                <w:b/>
                <w:color w:val="FFFFFF"/>
                <w:sz w:val="16"/>
              </w:rPr>
              <w:t>Categories (houses, median price)</w:t>
            </w:r>
          </w:p>
        </w:tc>
      </w:tr>
      <w:tr>
        <w:tc>
          <w:tcPr>
            <w:tcW w:type="dxa" w:w="1343"/>
          </w:tcPr>
          <w:p>
            <w:pPr>
              <w:spacing w:after="0"/>
            </w:pPr>
            <w:r/>
            <w:r>
              <w:rPr>
                <w:sz w:val="16"/>
              </w:rPr>
              <w:t>AgeBand</w:t>
            </w:r>
          </w:p>
        </w:tc>
        <w:tc>
          <w:tcPr>
            <w:tcW w:type="dxa" w:w="2931"/>
          </w:tcPr>
          <w:p>
            <w:pPr>
              <w:spacing w:after="0"/>
            </w:pPr>
            <w:r/>
            <w:r>
              <w:rPr>
                <w:sz w:val="16"/>
              </w:rPr>
              <w:t>HouseAge: 0-5 / 6-20 / 21-50 / 51+ yrs</w:t>
            </w:r>
          </w:p>
        </w:tc>
        <w:tc>
          <w:tcPr>
            <w:tcW w:type="dxa" w:w="5251"/>
          </w:tcPr>
          <w:p>
            <w:pPr>
              <w:spacing w:after="0"/>
            </w:pPr>
            <w:r/>
            <w:r>
              <w:rPr>
                <w:sz w:val="16"/>
              </w:rPr>
              <w:t>New (308, $226k);  Recent (254, $212k);  Established (457, $147k);  Old (439, $127k)</w:t>
            </w:r>
          </w:p>
        </w:tc>
      </w:tr>
      <w:tr>
        <w:tc>
          <w:tcPr>
            <w:tcW w:type="dxa" w:w="1343"/>
          </w:tcPr>
          <w:p>
            <w:pPr>
              <w:spacing w:after="0"/>
            </w:pPr>
            <w:r/>
            <w:r>
              <w:rPr>
                <w:sz w:val="16"/>
              </w:rPr>
              <w:t>QualBand</w:t>
            </w:r>
          </w:p>
        </w:tc>
        <w:tc>
          <w:tcPr>
            <w:tcW w:type="dxa" w:w="2931"/>
          </w:tcPr>
          <w:p>
            <w:pPr>
              <w:spacing w:after="0"/>
            </w:pPr>
            <w:r/>
            <w:r>
              <w:rPr>
                <w:sz w:val="16"/>
              </w:rPr>
              <w:t>OverallQual: 1-4 / 5-6 / 7-8 / 9-10</w:t>
            </w:r>
          </w:p>
        </w:tc>
        <w:tc>
          <w:tcPr>
            <w:tcW w:type="dxa" w:w="5251"/>
          </w:tcPr>
          <w:p>
            <w:pPr>
              <w:spacing w:after="0"/>
            </w:pPr>
            <w:r/>
            <w:r>
              <w:rPr>
                <w:sz w:val="16"/>
              </w:rPr>
              <w:t>Low (141, $105k);  Average (771, $143k);  Good (487, $222k);  Excellent (59, $374k)</w:t>
            </w:r>
          </w:p>
        </w:tc>
      </w:tr>
      <w:tr>
        <w:tc>
          <w:tcPr>
            <w:tcW w:type="dxa" w:w="1343"/>
          </w:tcPr>
          <w:p>
            <w:pPr>
              <w:spacing w:after="0"/>
            </w:pPr>
            <w:r/>
            <w:r>
              <w:rPr>
                <w:sz w:val="16"/>
              </w:rPr>
              <w:t>SizeBand</w:t>
            </w:r>
          </w:p>
        </w:tc>
        <w:tc>
          <w:tcPr>
            <w:tcW w:type="dxa" w:w="2931"/>
          </w:tcPr>
          <w:p>
            <w:pPr>
              <w:spacing w:after="0"/>
            </w:pPr>
            <w:r/>
            <w:r>
              <w:rPr>
                <w:sz w:val="16"/>
              </w:rPr>
              <w:t>GrLivArea quartiles: &lt;1,134 / &lt;1,464 / &lt;1,788 / above</w:t>
            </w:r>
          </w:p>
        </w:tc>
        <w:tc>
          <w:tcPr>
            <w:tcW w:type="dxa" w:w="5251"/>
          </w:tcPr>
          <w:p>
            <w:pPr>
              <w:spacing w:after="0"/>
            </w:pPr>
            <w:r/>
            <w:r>
              <w:rPr>
                <w:sz w:val="16"/>
              </w:rPr>
              <w:t>Small (371, $123k);  Medium (360, $155k);  Large (371, $185k);  Very large (356, $240k)</w:t>
            </w:r>
          </w:p>
        </w:tc>
      </w:tr>
      <w:tr>
        <w:tc>
          <w:tcPr>
            <w:tcW w:type="dxa" w:w="1343"/>
          </w:tcPr>
          <w:p>
            <w:pPr>
              <w:spacing w:after="0"/>
            </w:pPr>
            <w:r/>
            <w:r>
              <w:rPr>
                <w:sz w:val="16"/>
              </w:rPr>
              <w:t>EraBuilt</w:t>
            </w:r>
          </w:p>
        </w:tc>
        <w:tc>
          <w:tcPr>
            <w:tcW w:type="dxa" w:w="2931"/>
          </w:tcPr>
          <w:p>
            <w:pPr>
              <w:spacing w:after="0"/>
            </w:pPr>
            <w:r/>
            <w:r>
              <w:rPr>
                <w:sz w:val="16"/>
              </w:rPr>
              <w:t>YearBuilt: &lt;1950 / 1950-79 / 1980-99 / 2000+</w:t>
            </w:r>
          </w:p>
        </w:tc>
        <w:tc>
          <w:tcPr>
            <w:tcW w:type="dxa" w:w="5251"/>
          </w:tcPr>
          <w:p>
            <w:pPr>
              <w:spacing w:after="0"/>
            </w:pPr>
            <w:r/>
            <w:r>
              <w:rPr>
                <w:sz w:val="16"/>
              </w:rPr>
              <w:t>Pre-1950 (318, $122k);  1950-1979 (530, $142k);  1980-1999 (224, $194k);  2000+ (386, $224k)</w:t>
            </w:r>
          </w:p>
        </w:tc>
      </w:tr>
      <w:tr>
        <w:tc>
          <w:tcPr>
            <w:tcW w:type="dxa" w:w="1343"/>
          </w:tcPr>
          <w:p>
            <w:pPr>
              <w:spacing w:after="0"/>
            </w:pPr>
            <w:r/>
            <w:r>
              <w:rPr>
                <w:sz w:val="16"/>
              </w:rPr>
              <w:t>LotBand</w:t>
            </w:r>
          </w:p>
        </w:tc>
        <w:tc>
          <w:tcPr>
            <w:tcW w:type="dxa" w:w="2931"/>
          </w:tcPr>
          <w:p>
            <w:pPr>
              <w:spacing w:after="0"/>
            </w:pPr>
            <w:r/>
            <w:r>
              <w:rPr>
                <w:sz w:val="16"/>
              </w:rPr>
              <w:t>LotArea: &lt;7.5k / 7.5-10k / 10-15k / &gt;15k sq ft</w:t>
            </w:r>
          </w:p>
        </w:tc>
        <w:tc>
          <w:tcPr>
            <w:tcW w:type="dxa" w:w="5251"/>
          </w:tcPr>
          <w:p>
            <w:pPr>
              <w:spacing w:after="0"/>
            </w:pPr>
            <w:r/>
            <w:r>
              <w:rPr>
                <w:sz w:val="16"/>
              </w:rPr>
              <w:t>Compact (363, $133k);  Standard (479, $153k);  Large (496, $190k);  Estate (120, $219k)</w:t>
            </w:r>
          </w:p>
        </w:tc>
      </w:tr>
    </w:tbl>
    <w:p>
      <w:pPr>
        <w:spacing w:after="80" w:before="0" w:line="264" w:lineRule="auto"/>
      </w:pPr>
    </w:p>
    <w:p>
      <w:pPr>
        <w:spacing w:after="20" w:before="0" w:line="264" w:lineRule="auto"/>
        <w:jc w:val="center"/>
      </w:pPr>
      <w:r>
        <w:drawing>
          <wp:inline xmlns:a="http://schemas.openxmlformats.org/drawingml/2006/main" xmlns:pic="http://schemas.openxmlformats.org/drawingml/2006/picture">
            <wp:extent cx="5760000" cy="1152000"/>
            <wp:docPr id="4" name="Picture 4"/>
            <wp:cNvGraphicFramePr>
              <a:graphicFrameLocks noChangeAspect="1"/>
            </wp:cNvGraphicFramePr>
            <a:graphic>
              <a:graphicData uri="http://schemas.openxmlformats.org/drawingml/2006/picture">
                <pic:pic>
                  <pic:nvPicPr>
                    <pic:cNvPr id="0" name="03_binning.png"/>
                    <pic:cNvPicPr/>
                  </pic:nvPicPr>
                  <pic:blipFill>
                    <a:blip r:embed="rId12"/>
                    <a:stretch>
                      <a:fillRect/>
                    </a:stretch>
                  </pic:blipFill>
                  <pic:spPr>
                    <a:xfrm>
                      <a:off x="0" y="0"/>
                      <a:ext cx="5760000" cy="1152000"/>
                    </a:xfrm>
                    <a:prstGeom prst="rect"/>
                  </pic:spPr>
                </pic:pic>
              </a:graphicData>
            </a:graphic>
          </wp:inline>
        </w:drawing>
      </w:r>
    </w:p>
    <w:p>
      <w:pPr>
        <w:spacing w:after="100" w:before="0" w:line="264" w:lineRule="auto"/>
        <w:jc w:val="center"/>
      </w:pPr>
      <w:r>
        <w:rPr>
          <w:i/>
          <w:sz w:val="16"/>
        </w:rPr>
        <w:t>Figure 4 - Price distribution within each bin</w:t>
      </w:r>
    </w:p>
    <w:p>
      <w:pPr>
        <w:spacing w:after="30" w:before="0" w:line="264" w:lineRule="auto"/>
        <w:ind w:left="255" w:hanging="170"/>
      </w:pPr>
      <w:r>
        <w:rPr>
          <w:b w:val="0"/>
          <w:sz w:val="19"/>
        </w:rPr>
        <w:t xml:space="preserve">• Every bin produces </w:t>
      </w:r>
      <w:r>
        <w:rPr>
          <w:b/>
          <w:sz w:val="19"/>
        </w:rPr>
        <w:t>clearly stepped, monotonic price levels</w:t>
      </w:r>
      <w:r>
        <w:rPr>
          <w:b w:val="0"/>
          <w:sz w:val="19"/>
        </w:rPr>
        <w:t>. QualBand goes from $105k to $374k (a 3.6x range), and AgeBand from $226k for New to $127k for Old. The categories are therefore logical and useful.</w:t>
      </w:r>
    </w:p>
    <w:p>
      <w:pPr>
        <w:spacing w:after="30" w:before="0" w:line="264" w:lineRule="auto"/>
        <w:ind w:left="255" w:hanging="170"/>
      </w:pPr>
      <w:r>
        <w:rPr>
          <w:b w:val="0"/>
          <w:sz w:val="19"/>
        </w:rPr>
        <w:t xml:space="preserve">• The bins are ordered, so they enter the models as </w:t>
      </w:r>
      <w:r>
        <w:rPr>
          <w:b/>
          <w:sz w:val="19"/>
        </w:rPr>
        <w:t>ordinal codes 0-3</w:t>
      </w:r>
      <w:r>
        <w:rPr>
          <w:b w:val="0"/>
          <w:sz w:val="19"/>
        </w:rPr>
        <w:t>. QualBand appears among the top-15 features of XGBoost and CatBoost, and SizeBand in CatBoost's.</w:t>
      </w:r>
    </w:p>
    <w:p>
      <w:pPr>
        <w:spacing w:after="20" w:before="0" w:line="264" w:lineRule="auto"/>
      </w:pPr>
      <w:r>
        <w:rPr>
          <w:i/>
          <w:sz w:val="16"/>
        </w:rPr>
        <w:t>Code snippet (notebook section 2.2)</w:t>
      </w:r>
    </w:p>
    <w:p>
      <w:pPr>
        <w:spacing w:after="100" w:before="0" w:line="240" w:lineRule="auto"/>
        <w:shd w:val="clear" w:color="auto" w:fill="F2F4F7"/>
      </w:pPr>
      <w:r>
        <w:rPr>
          <w:rFonts w:ascii="Courier New" w:hAnsi="Courier New" w:eastAsia="Courier New"/>
          <w:sz w:val="15"/>
        </w:rPr>
        <w:t>BINS = {"AgeBand":  ("HouseAge",    [-1, 5, 20, 50, np.inf], ["New", "Recent", "Established", "Old"]),</w:t>
        <w:br/>
      </w:r>
      <w:r>
        <w:rPr>
          <w:rFonts w:ascii="Courier New" w:hAnsi="Courier New" w:eastAsia="Courier New"/>
          <w:sz w:val="15"/>
        </w:rPr>
        <w:t xml:space="preserve">        "QualBand": ("OverallQual", [0, 4, 6, 8, 10],        ["Low", "Average", "Good", "Excellent"]), ...}</w:t>
        <w:br/>
      </w:r>
      <w:r>
        <w:rPr>
          <w:rFonts w:ascii="Courier New" w:hAnsi="Courier New" w:eastAsia="Courier New"/>
          <w:sz w:val="15"/>
        </w:rPr>
        <w:t>for new, (src, edges, labels) in BINS.items():</w:t>
        <w:br/>
      </w:r>
      <w:r>
        <w:rPr>
          <w:rFonts w:ascii="Courier New" w:hAnsi="Courier New" w:eastAsia="Courier New"/>
          <w:sz w:val="15"/>
        </w:rPr>
        <w:t xml:space="preserve">    d[new] = pd.cut(d[src], bins=edges, labels=labels)</w:t>
      </w:r>
    </w:p>
    <w:p>
      <w:pPr>
        <w:keepNext/>
        <w:spacing w:before="200" w:after="60"/>
      </w:pPr>
      <w:r>
        <w:rPr>
          <w:b/>
          <w:color w:val="1F3B57"/>
          <w:sz w:val="26"/>
        </w:rPr>
        <w:t>Task 3: Exploratory Data Analysis (EDA)</w:t>
      </w:r>
    </w:p>
    <w:p>
      <w:pPr>
        <w:keepNext/>
        <w:spacing w:before="120" w:after="60"/>
      </w:pPr>
      <w:r>
        <w:rPr>
          <w:b/>
          <w:color w:val="1F3B57"/>
          <w:sz w:val="22"/>
        </w:rPr>
        <w:t>3.1 Analysis and Interpretation</w:t>
      </w:r>
    </w:p>
    <w:p>
      <w:pPr>
        <w:spacing w:after="40" w:before="100" w:line="264" w:lineRule="auto"/>
      </w:pPr>
      <w:r>
        <w:rPr>
          <w:b/>
          <w:color w:val="1F3B57"/>
          <w:sz w:val="21"/>
        </w:rPr>
        <w:t>I. What is the distribution of sale prices?</w:t>
      </w:r>
    </w:p>
    <w:p>
      <w:pPr>
        <w:spacing w:after="30" w:before="0" w:line="264" w:lineRule="auto"/>
        <w:ind w:left="255" w:hanging="170"/>
      </w:pPr>
      <w:r>
        <w:rPr>
          <w:b w:val="0"/>
          <w:sz w:val="19"/>
        </w:rPr>
        <w:t xml:space="preserve">• </w:t>
      </w:r>
      <w:r>
        <w:rPr>
          <w:b/>
          <w:sz w:val="19"/>
        </w:rPr>
        <w:t>Spread:</w:t>
      </w:r>
      <w:r>
        <w:rPr>
          <w:b w:val="0"/>
          <w:sz w:val="19"/>
        </w:rPr>
        <w:t xml:space="preserve"> prices range from $34,900 to $755,000. The median is $163,000 and the mean $180,933. Half of all houses sell between $130k and $214k.</w:t>
      </w:r>
    </w:p>
    <w:p>
      <w:pPr>
        <w:spacing w:after="30" w:before="0" w:line="264" w:lineRule="auto"/>
        <w:ind w:left="255" w:hanging="170"/>
      </w:pPr>
      <w:r>
        <w:rPr>
          <w:b w:val="0"/>
          <w:sz w:val="19"/>
        </w:rPr>
        <w:t xml:space="preserve">• </w:t>
      </w:r>
      <w:r>
        <w:rPr>
          <w:b/>
          <w:sz w:val="19"/>
        </w:rPr>
        <w:t>Shape:</w:t>
      </w:r>
      <w:r>
        <w:rPr>
          <w:b w:val="0"/>
          <w:sz w:val="19"/>
        </w:rPr>
        <w:t xml:space="preserve"> the distribution is </w:t>
      </w:r>
      <w:r>
        <w:rPr>
          <w:b/>
          <w:sz w:val="19"/>
        </w:rPr>
        <w:t>right-skewed</w:t>
      </w:r>
      <w:r>
        <w:rPr>
          <w:b w:val="0"/>
          <w:sz w:val="19"/>
        </w:rPr>
        <w:t xml:space="preserve"> (skewness 1.88, kurtosis 6.5). A small number of expensive houses form a long tail and pull the mean above the median.</w:t>
      </w:r>
    </w:p>
    <w:p>
      <w:pPr>
        <w:spacing w:after="30" w:before="0" w:line="264" w:lineRule="auto"/>
        <w:ind w:left="255" w:hanging="170"/>
      </w:pPr>
      <w:r>
        <w:rPr>
          <w:b w:val="0"/>
          <w:sz w:val="19"/>
        </w:rPr>
        <w:t xml:space="preserve">• </w:t>
      </w:r>
      <w:r>
        <w:rPr>
          <w:b/>
          <w:sz w:val="19"/>
        </w:rPr>
        <w:t>Log transform:</w:t>
      </w:r>
      <w:r>
        <w:rPr>
          <w:b w:val="0"/>
          <w:sz w:val="19"/>
        </w:rPr>
        <w:t xml:space="preserve"> log(1 + price) is close to normal (skewness 0.12), and the Q-Q plot is almost straight (Figure 5). The models therefore predict log price, which makes errors relative: a $20k miss matters more on a $100k house.</w:t>
      </w:r>
    </w:p>
    <w:p>
      <w:pPr>
        <w:spacing w:after="40" w:before="100" w:line="264" w:lineRule="auto"/>
      </w:pPr>
      <w:r>
        <w:rPr>
          <w:b/>
          <w:color w:val="1F3B57"/>
          <w:sz w:val="21"/>
        </w:rPr>
        <w:t>II. How do different features relate to sale price?</w:t>
      </w:r>
    </w:p>
    <w:p>
      <w:pPr>
        <w:spacing w:after="30" w:before="0" w:line="264" w:lineRule="auto"/>
        <w:ind w:left="255" w:hanging="170"/>
      </w:pPr>
      <w:r>
        <w:rPr>
          <w:b w:val="0"/>
          <w:sz w:val="19"/>
        </w:rPr>
        <w:t xml:space="preserve">• </w:t>
      </w:r>
      <w:r>
        <w:rPr>
          <w:b/>
          <w:sz w:val="19"/>
        </w:rPr>
        <w:t>Quality is the strongest driver.</w:t>
      </w:r>
      <w:r>
        <w:rPr>
          <w:b w:val="0"/>
          <w:sz w:val="19"/>
        </w:rPr>
        <w:t xml:space="preserve"> OverallQual has r = 0.82 with log price, and the median price rises at every step from 1 to 10. Kitchen, exterior and basement quality show the same staircase: median $318k for Ex kitchens against $137k for TA.</w:t>
      </w:r>
    </w:p>
    <w:p>
      <w:pPr>
        <w:spacing w:after="30" w:before="0" w:line="264" w:lineRule="auto"/>
        <w:ind w:left="255" w:hanging="170"/>
      </w:pPr>
      <w:r>
        <w:rPr>
          <w:b w:val="0"/>
          <w:sz w:val="19"/>
        </w:rPr>
        <w:t xml:space="preserve">• </w:t>
      </w:r>
      <w:r>
        <w:rPr>
          <w:b/>
          <w:sz w:val="19"/>
        </w:rPr>
        <w:t>Size comes next.</w:t>
      </w:r>
      <w:r>
        <w:rPr>
          <w:b w:val="0"/>
          <w:sz w:val="19"/>
        </w:rPr>
        <w:t xml:space="preserve"> TotalSF (r = 0.83), GrLivArea (0.73), garage cars and area (0.68 / 0.66) and basement area (0.65) all matter. </w:t>
      </w:r>
      <w:r>
        <w:rPr>
          <w:b/>
          <w:sz w:val="19"/>
        </w:rPr>
        <w:t>Size and quality multiply</w:t>
      </w:r>
      <w:r>
        <w:rPr>
          <w:b w:val="0"/>
          <w:sz w:val="19"/>
        </w:rPr>
        <w:t>: large houses only reach top prices when quality is also high (Figure 6, centre), which is why the interaction features work.</w:t>
      </w:r>
    </w:p>
    <w:p>
      <w:pPr>
        <w:spacing w:after="30" w:before="0" w:line="264" w:lineRule="auto"/>
        <w:ind w:left="255" w:hanging="170"/>
      </w:pPr>
      <w:r>
        <w:rPr>
          <w:b w:val="0"/>
          <w:sz w:val="19"/>
        </w:rPr>
        <w:t xml:space="preserve">• </w:t>
      </w:r>
      <w:r>
        <w:rPr>
          <w:b/>
          <w:sz w:val="19"/>
        </w:rPr>
        <w:t>Age and renovation:</w:t>
      </w:r>
      <w:r>
        <w:rPr>
          <w:b w:val="0"/>
          <w:sz w:val="19"/>
        </w:rPr>
        <w:t xml:space="preserve"> YearBuilt (r = 0.59) and YearRemodAdd (0.57). Newer houses are worth more.</w:t>
      </w:r>
    </w:p>
    <w:p>
      <w:pPr>
        <w:spacing w:after="30" w:before="0" w:line="264" w:lineRule="auto"/>
        <w:ind w:left="255" w:hanging="170"/>
      </w:pPr>
      <w:r>
        <w:rPr>
          <w:b w:val="0"/>
          <w:sz w:val="19"/>
        </w:rPr>
        <w:t xml:space="preserve">• </w:t>
      </w:r>
      <w:r>
        <w:rPr>
          <w:b/>
          <w:sz w:val="19"/>
        </w:rPr>
        <w:t>Location:</w:t>
      </w:r>
      <w:r>
        <w:rPr>
          <w:b w:val="0"/>
          <w:sz w:val="19"/>
        </w:rPr>
        <w:t xml:space="preserve"> median prices run from $315k (NridgHt) down to $88k (MeadowV), a 3x gap for location alone (Figure 7).</w:t>
      </w:r>
    </w:p>
    <w:p>
      <w:pPr>
        <w:spacing w:after="30" w:before="0" w:line="264" w:lineRule="auto"/>
        <w:ind w:left="255" w:hanging="170"/>
      </w:pPr>
      <w:r>
        <w:rPr>
          <w:b w:val="0"/>
          <w:sz w:val="19"/>
        </w:rPr>
        <w:t xml:space="preserve">• </w:t>
      </w:r>
      <w:r>
        <w:rPr>
          <w:b/>
          <w:sz w:val="19"/>
        </w:rPr>
        <w:t>Amenities:</w:t>
      </w:r>
      <w:r>
        <w:rPr>
          <w:b w:val="0"/>
          <w:sz w:val="19"/>
        </w:rPr>
        <w:br/>
        <w:t>- Central air: $168k with it vs $98k without.</w:t>
        <w:br/>
        <w:t>- Fireplace: $190k with one vs $135k with none.</w:t>
        <w:br/>
        <w:t>- Garage capacity: $100k with no garage up to $295k for 3 cars.</w:t>
      </w:r>
    </w:p>
    <w:p>
      <w:pPr>
        <w:spacing w:after="30" w:before="0" w:line="264" w:lineRule="auto"/>
        <w:ind w:left="255" w:hanging="170"/>
      </w:pPr>
      <w:r>
        <w:rPr>
          <w:b w:val="0"/>
          <w:sz w:val="19"/>
        </w:rPr>
        <w:t xml:space="preserve">• </w:t>
      </w:r>
      <w:r>
        <w:rPr>
          <w:b/>
          <w:sz w:val="19"/>
        </w:rPr>
        <w:t>Weak or negative links:</w:t>
      </w:r>
      <w:r>
        <w:rPr>
          <w:b w:val="0"/>
          <w:sz w:val="19"/>
        </w:rPr>
        <w:t xml:space="preserve"> month and year sold, MiscVal and OverallCond on its own barely matter (|r| &lt; 0.05). EnclosedPorch and KitchenAbvGr are slightly negative (r about -0.15), because they are typical of older houses and duplexes.</w:t>
      </w:r>
    </w:p>
    <w:p>
      <w:pPr>
        <w:spacing w:after="30" w:before="0" w:line="264" w:lineRule="auto"/>
        <w:ind w:left="255" w:hanging="170"/>
      </w:pPr>
      <w:r>
        <w:rPr>
          <w:b w:val="0"/>
          <w:sz w:val="19"/>
        </w:rPr>
        <w:t xml:space="preserve">• </w:t>
      </w:r>
      <w:r>
        <w:rPr>
          <w:b/>
          <w:sz w:val="19"/>
        </w:rPr>
        <w:t>Correlated pairs</w:t>
      </w:r>
      <w:r>
        <w:rPr>
          <w:b w:val="0"/>
          <w:sz w:val="19"/>
        </w:rPr>
        <w:t xml:space="preserve"> carry overlapping information: GarageCars/GarageArea (0.89), GrLivArea/TotRmsAbvGrd (0.83) and TotalBsmtSF/1stFlrSF (0.80). Tree ensembles handle this well.</w:t>
      </w:r>
    </w:p>
    <w:p>
      <w:pPr>
        <w:spacing w:after="40" w:before="100" w:line="264" w:lineRule="auto"/>
      </w:pPr>
      <w:r>
        <w:rPr>
          <w:b/>
          <w:color w:val="1F3B57"/>
          <w:sz w:val="21"/>
        </w:rPr>
        <w:t>III. Trends and patterns</w:t>
      </w:r>
    </w:p>
    <w:p>
      <w:pPr>
        <w:spacing w:after="30" w:before="0" w:line="264" w:lineRule="auto"/>
        <w:ind w:left="255" w:hanging="170"/>
      </w:pPr>
      <w:r>
        <w:rPr>
          <w:b w:val="0"/>
          <w:sz w:val="19"/>
        </w:rPr>
        <w:t xml:space="preserve">• </w:t>
      </w:r>
      <w:r>
        <w:rPr>
          <w:b/>
          <w:sz w:val="19"/>
        </w:rPr>
        <w:t>Prices were stable over time.</w:t>
      </w:r>
      <w:r>
        <w:rPr>
          <w:b w:val="0"/>
          <w:sz w:val="19"/>
        </w:rPr>
        <w:t xml:space="preserve"> The median was $162k-166k from 2006 to 2009, even through the 2008 crisis, with a small dip to $155k in 2010 (a year with only part-year data).</w:t>
      </w:r>
    </w:p>
    <w:p>
      <w:pPr>
        <w:spacing w:after="30" w:before="0" w:line="264" w:lineRule="auto"/>
        <w:ind w:left="255" w:hanging="170"/>
      </w:pPr>
      <w:r>
        <w:rPr>
          <w:b w:val="0"/>
          <w:sz w:val="19"/>
        </w:rPr>
        <w:t xml:space="preserve">• </w:t>
      </w:r>
      <w:r>
        <w:rPr>
          <w:b/>
          <w:sz w:val="19"/>
        </w:rPr>
        <w:t>Seasonality in volume, not price.</w:t>
      </w:r>
      <w:r>
        <w:rPr>
          <w:b w:val="0"/>
          <w:sz w:val="19"/>
        </w:rPr>
        <w:t xml:space="preserve"> Sales peak in May-July (204-253 a month vs 52-59 in Dec-Feb), but the median price hardly changes by month.</w:t>
      </w:r>
    </w:p>
    <w:p>
      <w:pPr>
        <w:spacing w:after="30" w:before="0" w:line="264" w:lineRule="auto"/>
        <w:ind w:left="255" w:hanging="170"/>
      </w:pPr>
      <w:r>
        <w:rPr>
          <w:b w:val="0"/>
          <w:sz w:val="19"/>
        </w:rPr>
        <w:t xml:space="preserve">• </w:t>
      </w:r>
      <w:r>
        <w:rPr>
          <w:b/>
          <w:sz w:val="19"/>
        </w:rPr>
        <w:t>Sale condition:</w:t>
      </w:r>
      <w:r>
        <w:rPr>
          <w:b w:val="0"/>
          <w:sz w:val="19"/>
        </w:rPr>
        <w:t xml:space="preserve"> Partial sales of new builds have the highest median ($247k). Abnormal sales (foreclosures) go for $130k, against $160k for Normal sales.</w:t>
      </w:r>
    </w:p>
    <w:p>
      <w:pPr>
        <w:spacing w:after="30" w:before="0" w:line="264" w:lineRule="auto"/>
        <w:ind w:left="255" w:hanging="170"/>
      </w:pPr>
      <w:r>
        <w:rPr>
          <w:b w:val="0"/>
          <w:sz w:val="19"/>
        </w:rPr>
        <w:t xml:space="preserve">• </w:t>
      </w:r>
      <w:r>
        <w:rPr>
          <w:b/>
          <w:sz w:val="19"/>
        </w:rPr>
        <w:t>New-construction premium:</w:t>
      </w:r>
      <w:r>
        <w:rPr>
          <w:b w:val="0"/>
          <w:sz w:val="19"/>
        </w:rPr>
        <w:t xml:space="preserve"> price per sq ft rises from about $65-85 for pre-1920 homes to $118 for 1950s-70s homes and $139 for the 2000s. Newer homes are worth more per sq ft, not just bigger.</w:t>
      </w:r>
    </w:p>
    <w:p>
      <w:pPr>
        <w:spacing w:after="30" w:before="0" w:line="264" w:lineRule="auto"/>
        <w:ind w:left="255" w:hanging="170"/>
      </w:pPr>
      <w:r>
        <w:rPr>
          <w:b w:val="0"/>
          <w:sz w:val="19"/>
        </w:rPr>
        <w:t xml:space="preserve">• </w:t>
      </w:r>
      <w:r>
        <w:rPr>
          <w:b/>
          <w:sz w:val="19"/>
        </w:rPr>
        <w:t>Overall pattern:</w:t>
      </w:r>
      <w:r>
        <w:rPr>
          <w:b w:val="0"/>
          <w:sz w:val="19"/>
        </w:rPr>
        <w:t xml:space="preserve"> the highest prices need quality, size and a good neighbourhood together. No single feature is enough.</w:t>
      </w:r>
    </w:p>
    <w:p>
      <w:pPr>
        <w:keepNext/>
        <w:spacing w:before="120" w:after="60"/>
      </w:pPr>
      <w:r>
        <w:rPr>
          <w:b/>
          <w:color w:val="1F3B57"/>
          <w:sz w:val="22"/>
        </w:rPr>
        <w:t>3.2 Visualisations</w:t>
      </w:r>
    </w:p>
    <w:p>
      <w:pPr>
        <w:spacing w:after="60" w:before="0" w:line="264" w:lineRule="auto"/>
      </w:pPr>
      <w:r>
        <w:rPr>
          <w:b w:val="0"/>
          <w:sz w:val="19"/>
        </w:rPr>
        <w:t>Key charts are shown below. All plots are in the notebook (sections 3.1-3.3); figures 1-4 appear in the Task 1 and 2 answers above.</w:t>
      </w:r>
    </w:p>
    <w:p>
      <w:pPr>
        <w:spacing w:after="20" w:before="0" w:line="264" w:lineRule="auto"/>
        <w:jc w:val="center"/>
      </w:pPr>
      <w:r>
        <w:drawing>
          <wp:inline xmlns:a="http://schemas.openxmlformats.org/drawingml/2006/main" xmlns:pic="http://schemas.openxmlformats.org/drawingml/2006/picture">
            <wp:extent cx="5760000" cy="1423059"/>
            <wp:docPr id="5" name="Picture 5"/>
            <wp:cNvGraphicFramePr>
              <a:graphicFrameLocks noChangeAspect="1"/>
            </wp:cNvGraphicFramePr>
            <a:graphic>
              <a:graphicData uri="http://schemas.openxmlformats.org/drawingml/2006/picture">
                <pic:pic>
                  <pic:nvPicPr>
                    <pic:cNvPr id="0" name="04_price_distribution.png"/>
                    <pic:cNvPicPr/>
                  </pic:nvPicPr>
                  <pic:blipFill>
                    <a:blip r:embed="rId13"/>
                    <a:stretch>
                      <a:fillRect/>
                    </a:stretch>
                  </pic:blipFill>
                  <pic:spPr>
                    <a:xfrm>
                      <a:off x="0" y="0"/>
                      <a:ext cx="5760000" cy="1423059"/>
                    </a:xfrm>
                    <a:prstGeom prst="rect"/>
                  </pic:spPr>
                </pic:pic>
              </a:graphicData>
            </a:graphic>
          </wp:inline>
        </w:drawing>
      </w:r>
    </w:p>
    <w:p>
      <w:pPr>
        <w:spacing w:after="100" w:before="0" w:line="264" w:lineRule="auto"/>
        <w:jc w:val="center"/>
      </w:pPr>
      <w:r>
        <w:rPr>
          <w:i/>
          <w:sz w:val="16"/>
        </w:rPr>
        <w:t>Figure 5 - SalePrice distribution: raw (skewed), log (near-normal), Q-Q plot</w:t>
      </w:r>
    </w:p>
    <w:p>
      <w:pPr>
        <w:spacing w:after="20" w:before="0" w:line="264" w:lineRule="auto"/>
        <w:jc w:val="center"/>
      </w:pPr>
      <w:r>
        <w:drawing>
          <wp:inline xmlns:a="http://schemas.openxmlformats.org/drawingml/2006/main" xmlns:pic="http://schemas.openxmlformats.org/drawingml/2006/picture">
            <wp:extent cx="5760000" cy="3049412"/>
            <wp:docPr id="6" name="Picture 6"/>
            <wp:cNvGraphicFramePr>
              <a:graphicFrameLocks noChangeAspect="1"/>
            </wp:cNvGraphicFramePr>
            <a:graphic>
              <a:graphicData uri="http://schemas.openxmlformats.org/drawingml/2006/picture">
                <pic:pic>
                  <pic:nvPicPr>
                    <pic:cNvPr id="0" name="07_feature_relationships.png"/>
                    <pic:cNvPicPr/>
                  </pic:nvPicPr>
                  <pic:blipFill>
                    <a:blip r:embed="rId14"/>
                    <a:stretch>
                      <a:fillRect/>
                    </a:stretch>
                  </pic:blipFill>
                  <pic:spPr>
                    <a:xfrm>
                      <a:off x="0" y="0"/>
                      <a:ext cx="5760000" cy="3049412"/>
                    </a:xfrm>
                    <a:prstGeom prst="rect"/>
                  </pic:spPr>
                </pic:pic>
              </a:graphicData>
            </a:graphic>
          </wp:inline>
        </w:drawing>
      </w:r>
    </w:p>
    <w:p>
      <w:pPr>
        <w:spacing w:after="100" w:before="0" w:line="264" w:lineRule="auto"/>
        <w:jc w:val="center"/>
      </w:pPr>
      <w:r>
        <w:rPr>
          <w:i/>
          <w:sz w:val="16"/>
        </w:rPr>
        <w:t>Figure 6 - Price vs quality, total area (by quality band), year built, kitchen, garage, central air</w:t>
      </w:r>
    </w:p>
    <w:p>
      <w:pPr>
        <w:spacing w:after="20" w:before="0" w:line="264" w:lineRule="auto"/>
        <w:jc w:val="center"/>
      </w:pPr>
      <w:r>
        <w:drawing>
          <wp:inline xmlns:a="http://schemas.openxmlformats.org/drawingml/2006/main" xmlns:pic="http://schemas.openxmlformats.org/drawingml/2006/picture">
            <wp:extent cx="5760000" cy="1843200"/>
            <wp:docPr id="7" name="Picture 7"/>
            <wp:cNvGraphicFramePr>
              <a:graphicFrameLocks noChangeAspect="1"/>
            </wp:cNvGraphicFramePr>
            <a:graphic>
              <a:graphicData uri="http://schemas.openxmlformats.org/drawingml/2006/picture">
                <pic:pic>
                  <pic:nvPicPr>
                    <pic:cNvPr id="0" name="08_neighborhood.png"/>
                    <pic:cNvPicPr/>
                  </pic:nvPicPr>
                  <pic:blipFill>
                    <a:blip r:embed="rId15"/>
                    <a:stretch>
                      <a:fillRect/>
                    </a:stretch>
                  </pic:blipFill>
                  <pic:spPr>
                    <a:xfrm>
                      <a:off x="0" y="0"/>
                      <a:ext cx="5760000" cy="1843200"/>
                    </a:xfrm>
                    <a:prstGeom prst="rect"/>
                  </pic:spPr>
                </pic:pic>
              </a:graphicData>
            </a:graphic>
          </wp:inline>
        </w:drawing>
      </w:r>
    </w:p>
    <w:p>
      <w:pPr>
        <w:spacing w:after="100" w:before="0" w:line="264" w:lineRule="auto"/>
        <w:jc w:val="center"/>
      </w:pPr>
      <w:r>
        <w:rPr>
          <w:i/>
          <w:sz w:val="16"/>
        </w:rPr>
        <w:t>Figure 7 - Price by neighbourhood, sorted by median</w:t>
      </w:r>
    </w:p>
    <w:p>
      <w:pPr>
        <w:spacing w:after="20" w:before="0" w:line="264" w:lineRule="auto"/>
        <w:jc w:val="center"/>
      </w:pPr>
      <w:r>
        <w:drawing>
          <wp:inline xmlns:a="http://schemas.openxmlformats.org/drawingml/2006/main" xmlns:pic="http://schemas.openxmlformats.org/drawingml/2006/picture">
            <wp:extent cx="3780000" cy="3307500"/>
            <wp:docPr id="8" name="Picture 8"/>
            <wp:cNvGraphicFramePr>
              <a:graphicFrameLocks noChangeAspect="1"/>
            </wp:cNvGraphicFramePr>
            <a:graphic>
              <a:graphicData uri="http://schemas.openxmlformats.org/drawingml/2006/picture">
                <pic:pic>
                  <pic:nvPicPr>
                    <pic:cNvPr id="0" name="05_correlations.png"/>
                    <pic:cNvPicPr/>
                  </pic:nvPicPr>
                  <pic:blipFill>
                    <a:blip r:embed="rId16"/>
                    <a:stretch>
                      <a:fillRect/>
                    </a:stretch>
                  </pic:blipFill>
                  <pic:spPr>
                    <a:xfrm>
                      <a:off x="0" y="0"/>
                      <a:ext cx="3780000" cy="3307500"/>
                    </a:xfrm>
                    <a:prstGeom prst="rect"/>
                  </pic:spPr>
                </pic:pic>
              </a:graphicData>
            </a:graphic>
          </wp:inline>
        </w:drawing>
      </w:r>
    </w:p>
    <w:p>
      <w:pPr>
        <w:spacing w:after="100" w:before="0" w:line="264" w:lineRule="auto"/>
        <w:jc w:val="center"/>
      </w:pPr>
      <w:r>
        <w:rPr>
          <w:i/>
          <w:sz w:val="16"/>
        </w:rPr>
        <w:t>Figure 8 - Correlation of numeric features with log(SalePrice)</w:t>
      </w:r>
    </w:p>
    <w:p>
      <w:pPr>
        <w:spacing w:after="20" w:before="0" w:line="264" w:lineRule="auto"/>
        <w:jc w:val="center"/>
      </w:pPr>
      <w:r>
        <w:drawing>
          <wp:inline xmlns:a="http://schemas.openxmlformats.org/drawingml/2006/main" xmlns:pic="http://schemas.openxmlformats.org/drawingml/2006/picture">
            <wp:extent cx="3780000" cy="2940000"/>
            <wp:docPr id="9" name="Picture 9"/>
            <wp:cNvGraphicFramePr>
              <a:graphicFrameLocks noChangeAspect="1"/>
            </wp:cNvGraphicFramePr>
            <a:graphic>
              <a:graphicData uri="http://schemas.openxmlformats.org/drawingml/2006/picture">
                <pic:pic>
                  <pic:nvPicPr>
                    <pic:cNvPr id="0" name="06_heatmap.png"/>
                    <pic:cNvPicPr/>
                  </pic:nvPicPr>
                  <pic:blipFill>
                    <a:blip r:embed="rId17"/>
                    <a:stretch>
                      <a:fillRect/>
                    </a:stretch>
                  </pic:blipFill>
                  <pic:spPr>
                    <a:xfrm>
                      <a:off x="0" y="0"/>
                      <a:ext cx="3780000" cy="2940000"/>
                    </a:xfrm>
                    <a:prstGeom prst="rect"/>
                  </pic:spPr>
                </pic:pic>
              </a:graphicData>
            </a:graphic>
          </wp:inline>
        </w:drawing>
      </w:r>
    </w:p>
    <w:p>
      <w:pPr>
        <w:spacing w:after="100" w:before="0" w:line="264" w:lineRule="auto"/>
        <w:jc w:val="center"/>
      </w:pPr>
      <w:r>
        <w:rPr>
          <w:i/>
          <w:sz w:val="16"/>
        </w:rPr>
        <w:t>Figure 9 - Correlation between the strongest original features</w:t>
      </w:r>
    </w:p>
    <w:p>
      <w:pPr>
        <w:spacing w:after="20" w:before="0" w:line="264" w:lineRule="auto"/>
        <w:jc w:val="center"/>
      </w:pPr>
      <w:r>
        <w:drawing>
          <wp:inline xmlns:a="http://schemas.openxmlformats.org/drawingml/2006/main" xmlns:pic="http://schemas.openxmlformats.org/drawingml/2006/picture">
            <wp:extent cx="5760000" cy="1344000"/>
            <wp:docPr id="10" name="Picture 10"/>
            <wp:cNvGraphicFramePr>
              <a:graphicFrameLocks noChangeAspect="1"/>
            </wp:cNvGraphicFramePr>
            <a:graphic>
              <a:graphicData uri="http://schemas.openxmlformats.org/drawingml/2006/picture">
                <pic:pic>
                  <pic:nvPicPr>
                    <pic:cNvPr id="0" name="09_trends.png"/>
                    <pic:cNvPicPr/>
                  </pic:nvPicPr>
                  <pic:blipFill>
                    <a:blip r:embed="rId18"/>
                    <a:stretch>
                      <a:fillRect/>
                    </a:stretch>
                  </pic:blipFill>
                  <pic:spPr>
                    <a:xfrm>
                      <a:off x="0" y="0"/>
                      <a:ext cx="5760000" cy="1344000"/>
                    </a:xfrm>
                    <a:prstGeom prst="rect"/>
                  </pic:spPr>
                </pic:pic>
              </a:graphicData>
            </a:graphic>
          </wp:inline>
        </w:drawing>
      </w:r>
    </w:p>
    <w:p>
      <w:pPr>
        <w:spacing w:after="100" w:before="0" w:line="264" w:lineRule="auto"/>
        <w:jc w:val="center"/>
      </w:pPr>
      <w:r>
        <w:rPr>
          <w:i/>
          <w:sz w:val="16"/>
        </w:rPr>
        <w:t>Figure 10 - Price by year sold, sales volume by month, price by sale condition</w:t>
      </w:r>
    </w:p>
    <w:p>
      <w:pPr>
        <w:spacing w:after="20" w:before="0" w:line="264" w:lineRule="auto"/>
        <w:jc w:val="center"/>
      </w:pPr>
      <w:r>
        <w:drawing>
          <wp:inline xmlns:a="http://schemas.openxmlformats.org/drawingml/2006/main" xmlns:pic="http://schemas.openxmlformats.org/drawingml/2006/picture">
            <wp:extent cx="5760000" cy="2188800"/>
            <wp:docPr id="11" name="Picture 11"/>
            <wp:cNvGraphicFramePr>
              <a:graphicFrameLocks noChangeAspect="1"/>
            </wp:cNvGraphicFramePr>
            <a:graphic>
              <a:graphicData uri="http://schemas.openxmlformats.org/drawingml/2006/picture">
                <pic:pic>
                  <pic:nvPicPr>
                    <pic:cNvPr id="0" name="10_price_per_sf_decade.png"/>
                    <pic:cNvPicPr/>
                  </pic:nvPicPr>
                  <pic:blipFill>
                    <a:blip r:embed="rId19"/>
                    <a:stretch>
                      <a:fillRect/>
                    </a:stretch>
                  </pic:blipFill>
                  <pic:spPr>
                    <a:xfrm>
                      <a:off x="0" y="0"/>
                      <a:ext cx="5760000" cy="2188800"/>
                    </a:xfrm>
                    <a:prstGeom prst="rect"/>
                  </pic:spPr>
                </pic:pic>
              </a:graphicData>
            </a:graphic>
          </wp:inline>
        </w:drawing>
      </w:r>
    </w:p>
    <w:p>
      <w:pPr>
        <w:spacing w:after="100" w:before="0" w:line="264" w:lineRule="auto"/>
        <w:jc w:val="center"/>
      </w:pPr>
      <w:r>
        <w:rPr>
          <w:i/>
          <w:sz w:val="16"/>
        </w:rPr>
        <w:t>Figure 11 - Price per sq ft by decade built</w:t>
      </w:r>
    </w:p>
    <w:p>
      <w:pPr>
        <w:keepNext/>
        <w:spacing w:before="200" w:after="60"/>
      </w:pPr>
      <w:r>
        <w:rPr>
          <w:b/>
          <w:color w:val="1F3B57"/>
          <w:sz w:val="26"/>
        </w:rPr>
        <w:t>Task 4: Model Building and Evaluation</w:t>
      </w:r>
    </w:p>
    <w:p>
      <w:pPr>
        <w:keepNext/>
        <w:spacing w:before="120" w:after="60"/>
      </w:pPr>
      <w:r>
        <w:rPr>
          <w:b/>
          <w:color w:val="1F3B57"/>
          <w:sz w:val="22"/>
        </w:rPr>
        <w:t>Model Building</w:t>
      </w:r>
    </w:p>
    <w:p>
      <w:pPr>
        <w:spacing w:after="30" w:before="0" w:line="264" w:lineRule="auto"/>
        <w:ind w:left="255" w:hanging="170"/>
      </w:pPr>
      <w:r>
        <w:rPr>
          <w:b w:val="0"/>
          <w:sz w:val="19"/>
        </w:rPr>
        <w:t xml:space="preserve">• </w:t>
      </w:r>
      <w:r>
        <w:rPr>
          <w:b/>
          <w:sz w:val="19"/>
        </w:rPr>
        <w:t>Data:</w:t>
      </w:r>
      <w:r>
        <w:rPr>
          <w:b w:val="0"/>
          <w:sz w:val="19"/>
        </w:rPr>
        <w:t xml:space="preserve"> 1,458 houses, 260 features, split 80/20 (1,166 train / 292 test, random_state 42). The test set was only used once, for the final evaluation.</w:t>
      </w:r>
    </w:p>
    <w:p>
      <w:pPr>
        <w:spacing w:after="30" w:before="0" w:line="264" w:lineRule="auto"/>
        <w:ind w:left="255" w:hanging="170"/>
      </w:pPr>
      <w:r>
        <w:rPr>
          <w:b w:val="0"/>
          <w:sz w:val="19"/>
        </w:rPr>
        <w:t xml:space="preserve">• </w:t>
      </w:r>
      <w:r>
        <w:rPr>
          <w:b/>
          <w:sz w:val="19"/>
        </w:rPr>
        <w:t>Target:</w:t>
      </w:r>
      <w:r>
        <w:rPr>
          <w:b w:val="0"/>
          <w:sz w:val="19"/>
        </w:rPr>
        <w:t xml:space="preserve"> log(1 + SalePrice). Predictions were converted back with expm1 for the dollar metrics.</w:t>
      </w:r>
    </w:p>
    <w:p>
      <w:pPr>
        <w:spacing w:after="30" w:before="0" w:line="264" w:lineRule="auto"/>
        <w:ind w:left="255" w:hanging="170"/>
      </w:pPr>
      <w:r>
        <w:rPr>
          <w:b w:val="0"/>
          <w:sz w:val="19"/>
        </w:rPr>
        <w:t xml:space="preserve">• </w:t>
      </w:r>
      <w:r>
        <w:rPr>
          <w:b/>
          <w:sz w:val="19"/>
        </w:rPr>
        <w:t>Models:</w:t>
      </w:r>
      <w:r>
        <w:rPr>
          <w:b w:val="0"/>
          <w:sz w:val="19"/>
        </w:rPr>
        <w:t xml:space="preserve"> XGBoost, LightGBM and CatBoost (as required), plus a </w:t>
      </w:r>
      <w:r>
        <w:rPr>
          <w:b/>
          <w:sz w:val="19"/>
        </w:rPr>
        <w:t>Ridge regression baseline</w:t>
      </w:r>
      <w:r>
        <w:rPr>
          <w:b w:val="0"/>
          <w:sz w:val="19"/>
        </w:rPr>
        <w:t xml:space="preserve"> to show what boosting adds. A simple average of the three boosters was also tested.</w:t>
      </w:r>
    </w:p>
    <w:p>
      <w:pPr>
        <w:spacing w:after="30" w:before="0" w:line="264" w:lineRule="auto"/>
        <w:ind w:left="255" w:hanging="170"/>
      </w:pPr>
      <w:r>
        <w:rPr>
          <w:b w:val="0"/>
          <w:sz w:val="19"/>
        </w:rPr>
        <w:t xml:space="preserve">• </w:t>
      </w:r>
      <w:r>
        <w:rPr>
          <w:b/>
          <w:sz w:val="19"/>
        </w:rPr>
        <w:t>Tuning:</w:t>
      </w:r>
      <w:r>
        <w:rPr>
          <w:b w:val="0"/>
          <w:sz w:val="19"/>
        </w:rPr>
        <w:t xml:space="preserve"> RandomizedSearchCV with 25 parameter combinations x 5-fold CV for each booster, minimising RMSE. The search covered the number of trees, learning rate, tree depth/leaves, row and column subsampling, and L1/L2 regularisation.</w:t>
      </w:r>
    </w:p>
    <w:tbl>
      <w:tblPr>
        <w:tblStyle w:val="TableGrid"/>
        <w:tblW w:type="auto" w:w="0"/>
        <w:tblLayout w:type="fixed"/>
        <w:tblLook w:firstColumn="1" w:firstRow="1" w:lastColumn="0" w:lastRow="0" w:noHBand="0" w:noVBand="1" w:val="04A0"/>
      </w:tblPr>
      <w:tblGrid>
        <w:gridCol w:w="1587"/>
        <w:gridCol w:w="7937"/>
      </w:tblGrid>
      <w:tr>
        <w:tc>
          <w:tcPr>
            <w:tcW w:type="dxa" w:w="1587"/>
            <w:shd w:val="clear" w:fill="1F3B57"/>
          </w:tcPr>
          <w:p>
            <w:pPr>
              <w:spacing w:after="0"/>
            </w:pPr>
            <w:r/>
            <w:r>
              <w:rPr>
                <w:b/>
                <w:color w:val="FFFFFF"/>
                <w:sz w:val="16"/>
              </w:rPr>
              <w:t>Model</w:t>
            </w:r>
          </w:p>
        </w:tc>
        <w:tc>
          <w:tcPr>
            <w:tcW w:type="dxa" w:w="7937"/>
            <w:shd w:val="clear" w:fill="1F3B57"/>
          </w:tcPr>
          <w:p>
            <w:pPr>
              <w:spacing w:after="0"/>
            </w:pPr>
            <w:r/>
            <w:r>
              <w:rPr>
                <w:b/>
                <w:color w:val="FFFFFF"/>
                <w:sz w:val="16"/>
              </w:rPr>
              <w:t>Best parameters (from 5-fold CV search)</w:t>
            </w:r>
          </w:p>
        </w:tc>
      </w:tr>
      <w:tr>
        <w:tc>
          <w:tcPr>
            <w:tcW w:type="dxa" w:w="1587"/>
          </w:tcPr>
          <w:p>
            <w:pPr>
              <w:spacing w:after="0"/>
            </w:pPr>
            <w:r/>
            <w:r>
              <w:rPr>
                <w:sz w:val="16"/>
              </w:rPr>
              <w:t>XGBoost</w:t>
            </w:r>
          </w:p>
        </w:tc>
        <w:tc>
          <w:tcPr>
            <w:tcW w:type="dxa" w:w="7937"/>
          </w:tcPr>
          <w:p>
            <w:pPr>
              <w:spacing w:after="0"/>
            </w:pPr>
            <w:r/>
            <w:r>
              <w:rPr>
                <w:sz w:val="16"/>
              </w:rPr>
              <w:t>n_estimators=1000, learning_rate=0.03, max_depth=3, min_child_weight=1, subsample=0.8, colsample_bytree=0.3, reg_alpha=0.001, reg_lambda=1</w:t>
            </w:r>
          </w:p>
        </w:tc>
      </w:tr>
      <w:tr>
        <w:tc>
          <w:tcPr>
            <w:tcW w:type="dxa" w:w="1587"/>
          </w:tcPr>
          <w:p>
            <w:pPr>
              <w:spacing w:after="0"/>
            </w:pPr>
            <w:r/>
            <w:r>
              <w:rPr>
                <w:sz w:val="16"/>
              </w:rPr>
              <w:t>LightGBM</w:t>
            </w:r>
          </w:p>
        </w:tc>
        <w:tc>
          <w:tcPr>
            <w:tcW w:type="dxa" w:w="7937"/>
          </w:tcPr>
          <w:p>
            <w:pPr>
              <w:spacing w:after="0"/>
            </w:pPr>
            <w:r/>
            <w:r>
              <w:rPr>
                <w:sz w:val="16"/>
              </w:rPr>
              <w:t>n_estimators=600, learning_rate=0.03, num_leaves=8, min_child_samples=5, subsample=0.7, colsample_bytree=0.5, reg_lambda=1</w:t>
            </w:r>
          </w:p>
        </w:tc>
      </w:tr>
      <w:tr>
        <w:tc>
          <w:tcPr>
            <w:tcW w:type="dxa" w:w="1587"/>
          </w:tcPr>
          <w:p>
            <w:pPr>
              <w:spacing w:after="0"/>
            </w:pPr>
            <w:r/>
            <w:r>
              <w:rPr>
                <w:sz w:val="16"/>
              </w:rPr>
              <w:t>CatBoost</w:t>
            </w:r>
          </w:p>
        </w:tc>
        <w:tc>
          <w:tcPr>
            <w:tcW w:type="dxa" w:w="7937"/>
          </w:tcPr>
          <w:p>
            <w:pPr>
              <w:spacing w:after="0"/>
            </w:pPr>
            <w:r/>
            <w:r>
              <w:rPr>
                <w:sz w:val="16"/>
              </w:rPr>
              <w:t>iterations=1500, learning_rate=0.05, depth=4, l2_leaf_reg=5, rsm=0.3, subsample=0.7 (Bernoulli)</w:t>
            </w:r>
          </w:p>
        </w:tc>
      </w:tr>
      <w:tr>
        <w:tc>
          <w:tcPr>
            <w:tcW w:type="dxa" w:w="1587"/>
          </w:tcPr>
          <w:p>
            <w:pPr>
              <w:spacing w:after="0"/>
            </w:pPr>
            <w:r/>
            <w:r>
              <w:rPr>
                <w:sz w:val="16"/>
              </w:rPr>
              <w:t>Ridge</w:t>
            </w:r>
          </w:p>
        </w:tc>
        <w:tc>
          <w:tcPr>
            <w:tcW w:type="dxa" w:w="7937"/>
          </w:tcPr>
          <w:p>
            <w:pPr>
              <w:spacing w:after="0"/>
            </w:pPr>
            <w:r/>
            <w:r>
              <w:rPr>
                <w:sz w:val="16"/>
              </w:rPr>
              <w:t>alpha=11.7 (RidgeCV)</w:t>
            </w:r>
          </w:p>
        </w:tc>
      </w:tr>
    </w:tbl>
    <w:p>
      <w:pPr>
        <w:spacing w:after="80" w:before="0" w:line="264" w:lineRule="auto"/>
      </w:pPr>
    </w:p>
    <w:p>
      <w:pPr>
        <w:spacing w:after="60" w:before="0" w:line="264" w:lineRule="auto"/>
      </w:pPr>
      <w:r>
        <w:rPr>
          <w:b w:val="0"/>
          <w:sz w:val="19"/>
        </w:rPr>
        <w:t xml:space="preserve">All three boosters settled on </w:t>
      </w:r>
      <w:r>
        <w:rPr>
          <w:b/>
          <w:sz w:val="19"/>
        </w:rPr>
        <w:t>shallow trees</w:t>
      </w:r>
      <w:r>
        <w:rPr>
          <w:b w:val="0"/>
          <w:sz w:val="19"/>
        </w:rPr>
        <w:t xml:space="preserve"> (depth 3-4 or 8 leaves), </w:t>
      </w:r>
      <w:r>
        <w:rPr>
          <w:b/>
          <w:sz w:val="19"/>
        </w:rPr>
        <w:t>slow learning rates</w:t>
      </w:r>
      <w:r>
        <w:rPr>
          <w:b w:val="0"/>
          <w:sz w:val="19"/>
        </w:rPr>
        <w:t xml:space="preserve"> and </w:t>
      </w:r>
      <w:r>
        <w:rPr>
          <w:b/>
          <w:sz w:val="19"/>
        </w:rPr>
        <w:t>strong column subsampling</w:t>
      </w:r>
      <w:r>
        <w:rPr>
          <w:b w:val="0"/>
          <w:sz w:val="19"/>
        </w:rPr>
        <w:t xml:space="preserve"> (30-50% of features per tree). With only about 1,200 training houses, many small, randomised trees generalise better than a few deep ones.</w:t>
      </w:r>
    </w:p>
    <w:p>
      <w:pPr>
        <w:spacing w:after="20" w:before="0" w:line="264" w:lineRule="auto"/>
      </w:pPr>
      <w:r>
        <w:rPr>
          <w:i/>
          <w:sz w:val="16"/>
        </w:rPr>
        <w:t>Code snippet (notebook section 4)</w:t>
      </w:r>
    </w:p>
    <w:p>
      <w:pPr>
        <w:spacing w:after="100" w:before="0" w:line="240" w:lineRule="auto"/>
        <w:shd w:val="clear" w:color="auto" w:fill="F2F4F7"/>
      </w:pPr>
      <w:r>
        <w:rPr>
          <w:rFonts w:ascii="Courier New" w:hAnsi="Courier New" w:eastAsia="Courier New"/>
          <w:sz w:val="15"/>
        </w:rPr>
        <w:t>search = {"XGBoost": (XGBRegressor(random_state=SEED, tree_method="hist"), {"n_estimators": [600, 1000, 1500],</w:t>
        <w:br/>
      </w:r>
      <w:r>
        <w:rPr>
          <w:rFonts w:ascii="Courier New" w:hAnsi="Courier New" w:eastAsia="Courier New"/>
          <w:sz w:val="15"/>
        </w:rPr>
        <w:t xml:space="preserve">               "learning_rate": [0.02, 0.03, 0.05], "max_depth": [3, 4, 5], "colsample_bytree": [0.3, 0.5, 0.7], ...}),</w:t>
        <w:br/>
      </w:r>
      <w:r>
        <w:rPr>
          <w:rFonts w:ascii="Courier New" w:hAnsi="Courier New" w:eastAsia="Courier New"/>
          <w:sz w:val="15"/>
        </w:rPr>
        <w:t xml:space="preserve">          "LightGBM": (LGBMRegressor(random_state=SEED, verbose=-1), {...}),</w:t>
        <w:br/>
      </w:r>
      <w:r>
        <w:rPr>
          <w:rFonts w:ascii="Courier New" w:hAnsi="Courier New" w:eastAsia="Courier New"/>
          <w:sz w:val="15"/>
        </w:rPr>
        <w:t xml:space="preserve">          "CatBoost": (CatBoostRegressor(random_seed=SEED, verbose=0), {...})}</w:t>
        <w:br/>
      </w:r>
      <w:r>
        <w:rPr>
          <w:rFonts w:ascii="Courier New" w:hAnsi="Courier New" w:eastAsia="Courier New"/>
          <w:sz w:val="15"/>
        </w:rPr>
        <w:t>for name, (est, grid) in search.items():</w:t>
        <w:br/>
      </w:r>
      <w:r>
        <w:rPr>
          <w:rFonts w:ascii="Courier New" w:hAnsi="Courier New" w:eastAsia="Courier New"/>
          <w:sz w:val="15"/>
        </w:rPr>
        <w:t xml:space="preserve">    rs = RandomizedSearchCV(est, grid, n_iter=25, cv=KFold(5, shuffle=True, random_state=SEED),</w:t>
        <w:br/>
      </w:r>
      <w:r>
        <w:rPr>
          <w:rFonts w:ascii="Courier New" w:hAnsi="Courier New" w:eastAsia="Courier New"/>
          <w:sz w:val="15"/>
        </w:rPr>
        <w:t xml:space="preserve">                            scoring="neg_root_mean_squared_error", random_state=SEED).fit(X_train_n, y_train)</w:t>
        <w:br/>
      </w:r>
      <w:r>
        <w:rPr>
          <w:rFonts w:ascii="Courier New" w:hAnsi="Courier New" w:eastAsia="Courier New"/>
          <w:sz w:val="15"/>
        </w:rPr>
        <w:t xml:space="preserve">    best_models[name] = rs.best_estimator_</w:t>
      </w:r>
    </w:p>
    <w:p>
      <w:pPr>
        <w:keepNext/>
        <w:spacing w:before="120" w:after="60"/>
      </w:pPr>
      <w:r>
        <w:rPr>
          <w:b/>
          <w:color w:val="1F3B57"/>
          <w:sz w:val="22"/>
        </w:rPr>
        <w:t>Evaluation</w:t>
      </w:r>
    </w:p>
    <w:tbl>
      <w:tblPr>
        <w:tblStyle w:val="TableGrid"/>
        <w:tblW w:type="auto" w:w="0"/>
        <w:tblLayout w:type="fixed"/>
        <w:tblLook w:firstColumn="1" w:firstRow="1" w:lastColumn="0" w:lastRow="0" w:noHBand="0" w:noVBand="1" w:val="04A0"/>
      </w:tblPr>
      <w:tblGrid>
        <w:gridCol w:w="2198"/>
        <w:gridCol w:w="1832"/>
        <w:gridCol w:w="1221"/>
        <w:gridCol w:w="1221"/>
        <w:gridCol w:w="916"/>
        <w:gridCol w:w="1221"/>
        <w:gridCol w:w="916"/>
      </w:tblGrid>
      <w:tr>
        <w:tc>
          <w:tcPr>
            <w:tcW w:type="dxa" w:w="2198"/>
            <w:shd w:val="clear" w:fill="1F3B57"/>
          </w:tcPr>
          <w:p>
            <w:pPr>
              <w:spacing w:after="0"/>
            </w:pPr>
            <w:r/>
            <w:r>
              <w:rPr>
                <w:b/>
                <w:color w:val="FFFFFF"/>
                <w:sz w:val="16"/>
              </w:rPr>
              <w:t>Model</w:t>
            </w:r>
          </w:p>
        </w:tc>
        <w:tc>
          <w:tcPr>
            <w:tcW w:type="dxa" w:w="1832"/>
            <w:shd w:val="clear" w:fill="1F3B57"/>
          </w:tcPr>
          <w:p>
            <w:pPr>
              <w:spacing w:after="0"/>
            </w:pPr>
            <w:r/>
            <w:r>
              <w:rPr>
                <w:b/>
                <w:color w:val="FFFFFF"/>
                <w:sz w:val="16"/>
              </w:rPr>
              <w:t>CV RMSE (log) ± std</w:t>
            </w:r>
          </w:p>
        </w:tc>
        <w:tc>
          <w:tcPr>
            <w:tcW w:type="dxa" w:w="1221"/>
            <w:shd w:val="clear" w:fill="1F3B57"/>
          </w:tcPr>
          <w:p>
            <w:pPr>
              <w:spacing w:after="0"/>
            </w:pPr>
            <w:r/>
            <w:r>
              <w:rPr>
                <w:b/>
                <w:color w:val="FFFFFF"/>
                <w:sz w:val="16"/>
              </w:rPr>
              <w:t>Test RMSE ($)</w:t>
            </w:r>
          </w:p>
        </w:tc>
        <w:tc>
          <w:tcPr>
            <w:tcW w:type="dxa" w:w="1221"/>
            <w:shd w:val="clear" w:fill="1F3B57"/>
          </w:tcPr>
          <w:p>
            <w:pPr>
              <w:spacing w:after="0"/>
            </w:pPr>
            <w:r/>
            <w:r>
              <w:rPr>
                <w:b/>
                <w:color w:val="FFFFFF"/>
                <w:sz w:val="16"/>
              </w:rPr>
              <w:t>Test MAE ($)</w:t>
            </w:r>
          </w:p>
        </w:tc>
        <w:tc>
          <w:tcPr>
            <w:tcW w:type="dxa" w:w="916"/>
            <w:shd w:val="clear" w:fill="1F3B57"/>
          </w:tcPr>
          <w:p>
            <w:pPr>
              <w:spacing w:after="0"/>
            </w:pPr>
            <w:r/>
            <w:r>
              <w:rPr>
                <w:b/>
                <w:color w:val="FFFFFF"/>
                <w:sz w:val="16"/>
              </w:rPr>
              <w:t>Test R²</w:t>
            </w:r>
          </w:p>
        </w:tc>
        <w:tc>
          <w:tcPr>
            <w:tcW w:type="dxa" w:w="1221"/>
            <w:shd w:val="clear" w:fill="1F3B57"/>
          </w:tcPr>
          <w:p>
            <w:pPr>
              <w:spacing w:after="0"/>
            </w:pPr>
            <w:r/>
            <w:r>
              <w:rPr>
                <w:b/>
                <w:color w:val="FFFFFF"/>
                <w:sz w:val="16"/>
              </w:rPr>
              <w:t>Test RMSE (log)</w:t>
            </w:r>
          </w:p>
        </w:tc>
        <w:tc>
          <w:tcPr>
            <w:tcW w:type="dxa" w:w="916"/>
            <w:shd w:val="clear" w:fill="1F3B57"/>
          </w:tcPr>
          <w:p>
            <w:pPr>
              <w:spacing w:after="0"/>
            </w:pPr>
            <w:r/>
            <w:r>
              <w:rPr>
                <w:b/>
                <w:color w:val="FFFFFF"/>
                <w:sz w:val="16"/>
              </w:rPr>
              <w:t>MAPE</w:t>
            </w:r>
          </w:p>
        </w:tc>
      </w:tr>
      <w:tr>
        <w:tc>
          <w:tcPr>
            <w:tcW w:type="dxa" w:w="2198"/>
            <w:shd w:val="clear" w:fill="DFF0E4"/>
          </w:tcPr>
          <w:p>
            <w:pPr>
              <w:spacing w:after="0"/>
            </w:pPr>
            <w:r/>
            <w:r>
              <w:rPr>
                <w:b/>
                <w:sz w:val="16"/>
              </w:rPr>
              <w:t>CatBoost</w:t>
            </w:r>
          </w:p>
        </w:tc>
        <w:tc>
          <w:tcPr>
            <w:tcW w:type="dxa" w:w="1832"/>
            <w:shd w:val="clear" w:fill="DFF0E4"/>
          </w:tcPr>
          <w:p>
            <w:pPr>
              <w:spacing w:after="0"/>
            </w:pPr>
            <w:r/>
            <w:r>
              <w:rPr>
                <w:b/>
                <w:sz w:val="16"/>
              </w:rPr>
              <w:t>0.1089 ± 0.0102</w:t>
            </w:r>
          </w:p>
        </w:tc>
        <w:tc>
          <w:tcPr>
            <w:tcW w:type="dxa" w:w="1221"/>
            <w:shd w:val="clear" w:fill="DFF0E4"/>
          </w:tcPr>
          <w:p>
            <w:pPr>
              <w:spacing w:after="0"/>
            </w:pPr>
            <w:r/>
            <w:r>
              <w:rPr>
                <w:b/>
                <w:sz w:val="16"/>
              </w:rPr>
              <w:t>18,205</w:t>
            </w:r>
          </w:p>
        </w:tc>
        <w:tc>
          <w:tcPr>
            <w:tcW w:type="dxa" w:w="1221"/>
            <w:shd w:val="clear" w:fill="DFF0E4"/>
          </w:tcPr>
          <w:p>
            <w:pPr>
              <w:spacing w:after="0"/>
            </w:pPr>
            <w:r/>
            <w:r>
              <w:rPr>
                <w:b/>
                <w:sz w:val="16"/>
              </w:rPr>
              <w:t>13,087</w:t>
            </w:r>
          </w:p>
        </w:tc>
        <w:tc>
          <w:tcPr>
            <w:tcW w:type="dxa" w:w="916"/>
            <w:shd w:val="clear" w:fill="DFF0E4"/>
          </w:tcPr>
          <w:p>
            <w:pPr>
              <w:spacing w:after="0"/>
            </w:pPr>
            <w:r/>
            <w:r>
              <w:rPr>
                <w:b/>
                <w:sz w:val="16"/>
              </w:rPr>
              <w:t>0.940</w:t>
            </w:r>
          </w:p>
        </w:tc>
        <w:tc>
          <w:tcPr>
            <w:tcW w:type="dxa" w:w="1221"/>
            <w:shd w:val="clear" w:fill="DFF0E4"/>
          </w:tcPr>
          <w:p>
            <w:pPr>
              <w:spacing w:after="0"/>
            </w:pPr>
            <w:r/>
            <w:r>
              <w:rPr>
                <w:b/>
                <w:sz w:val="16"/>
              </w:rPr>
              <w:t>0.1100</w:t>
            </w:r>
          </w:p>
        </w:tc>
        <w:tc>
          <w:tcPr>
            <w:tcW w:type="dxa" w:w="916"/>
            <w:shd w:val="clear" w:fill="DFF0E4"/>
          </w:tcPr>
          <w:p>
            <w:pPr>
              <w:spacing w:after="0"/>
            </w:pPr>
            <w:r/>
            <w:r>
              <w:rPr>
                <w:b/>
                <w:sz w:val="16"/>
              </w:rPr>
              <w:t>7.9%</w:t>
            </w:r>
          </w:p>
        </w:tc>
      </w:tr>
      <w:tr>
        <w:tc>
          <w:tcPr>
            <w:tcW w:type="dxa" w:w="2198"/>
          </w:tcPr>
          <w:p>
            <w:pPr>
              <w:spacing w:after="0"/>
            </w:pPr>
            <w:r/>
            <w:r>
              <w:rPr>
                <w:sz w:val="16"/>
              </w:rPr>
              <w:t>Average of 3 boosters</w:t>
            </w:r>
          </w:p>
        </w:tc>
        <w:tc>
          <w:tcPr>
            <w:tcW w:type="dxa" w:w="1832"/>
          </w:tcPr>
          <w:p>
            <w:pPr>
              <w:spacing w:after="0"/>
            </w:pPr>
            <w:r/>
            <w:r>
              <w:rPr>
                <w:sz w:val="16"/>
              </w:rPr>
              <w:t>-</w:t>
            </w:r>
          </w:p>
        </w:tc>
        <w:tc>
          <w:tcPr>
            <w:tcW w:type="dxa" w:w="1221"/>
          </w:tcPr>
          <w:p>
            <w:pPr>
              <w:spacing w:after="0"/>
            </w:pPr>
            <w:r/>
            <w:r>
              <w:rPr>
                <w:sz w:val="16"/>
              </w:rPr>
              <w:t>18,528</w:t>
            </w:r>
          </w:p>
        </w:tc>
        <w:tc>
          <w:tcPr>
            <w:tcW w:type="dxa" w:w="1221"/>
          </w:tcPr>
          <w:p>
            <w:pPr>
              <w:spacing w:after="0"/>
            </w:pPr>
            <w:r/>
            <w:r>
              <w:rPr>
                <w:sz w:val="16"/>
              </w:rPr>
              <w:t>13,319</w:t>
            </w:r>
          </w:p>
        </w:tc>
        <w:tc>
          <w:tcPr>
            <w:tcW w:type="dxa" w:w="916"/>
          </w:tcPr>
          <w:p>
            <w:pPr>
              <w:spacing w:after="0"/>
            </w:pPr>
            <w:r/>
            <w:r>
              <w:rPr>
                <w:sz w:val="16"/>
              </w:rPr>
              <w:t>0.938</w:t>
            </w:r>
          </w:p>
        </w:tc>
        <w:tc>
          <w:tcPr>
            <w:tcW w:type="dxa" w:w="1221"/>
          </w:tcPr>
          <w:p>
            <w:pPr>
              <w:spacing w:after="0"/>
            </w:pPr>
            <w:r/>
            <w:r>
              <w:rPr>
                <w:sz w:val="16"/>
              </w:rPr>
              <w:t>0.1126</w:t>
            </w:r>
          </w:p>
        </w:tc>
        <w:tc>
          <w:tcPr>
            <w:tcW w:type="dxa" w:w="916"/>
          </w:tcPr>
          <w:p>
            <w:pPr>
              <w:spacing w:after="0"/>
            </w:pPr>
            <w:r/>
            <w:r>
              <w:rPr>
                <w:sz w:val="16"/>
              </w:rPr>
              <w:t>8.1%</w:t>
            </w:r>
          </w:p>
        </w:tc>
      </w:tr>
      <w:tr>
        <w:tc>
          <w:tcPr>
            <w:tcW w:type="dxa" w:w="2198"/>
          </w:tcPr>
          <w:p>
            <w:pPr>
              <w:spacing w:after="0"/>
            </w:pPr>
            <w:r/>
            <w:r>
              <w:rPr>
                <w:sz w:val="16"/>
              </w:rPr>
              <w:t>XGBoost</w:t>
            </w:r>
          </w:p>
        </w:tc>
        <w:tc>
          <w:tcPr>
            <w:tcW w:type="dxa" w:w="1832"/>
          </w:tcPr>
          <w:p>
            <w:pPr>
              <w:spacing w:after="0"/>
            </w:pPr>
            <w:r/>
            <w:r>
              <w:rPr>
                <w:sz w:val="16"/>
              </w:rPr>
              <w:t>0.1108 ± 0.0115</w:t>
            </w:r>
          </w:p>
        </w:tc>
        <w:tc>
          <w:tcPr>
            <w:tcW w:type="dxa" w:w="1221"/>
          </w:tcPr>
          <w:p>
            <w:pPr>
              <w:spacing w:after="0"/>
            </w:pPr>
            <w:r/>
            <w:r>
              <w:rPr>
                <w:sz w:val="16"/>
              </w:rPr>
              <w:t>19,427</w:t>
            </w:r>
          </w:p>
        </w:tc>
        <w:tc>
          <w:tcPr>
            <w:tcW w:type="dxa" w:w="1221"/>
          </w:tcPr>
          <w:p>
            <w:pPr>
              <w:spacing w:after="0"/>
            </w:pPr>
            <w:r/>
            <w:r>
              <w:rPr>
                <w:sz w:val="16"/>
              </w:rPr>
              <w:t>13,969</w:t>
            </w:r>
          </w:p>
        </w:tc>
        <w:tc>
          <w:tcPr>
            <w:tcW w:type="dxa" w:w="916"/>
          </w:tcPr>
          <w:p>
            <w:pPr>
              <w:spacing w:after="0"/>
            </w:pPr>
            <w:r/>
            <w:r>
              <w:rPr>
                <w:sz w:val="16"/>
              </w:rPr>
              <w:t>0.932</w:t>
            </w:r>
          </w:p>
        </w:tc>
        <w:tc>
          <w:tcPr>
            <w:tcW w:type="dxa" w:w="1221"/>
          </w:tcPr>
          <w:p>
            <w:pPr>
              <w:spacing w:after="0"/>
            </w:pPr>
            <w:r/>
            <w:r>
              <w:rPr>
                <w:sz w:val="16"/>
              </w:rPr>
              <w:t>0.1147</w:t>
            </w:r>
          </w:p>
        </w:tc>
        <w:tc>
          <w:tcPr>
            <w:tcW w:type="dxa" w:w="916"/>
          </w:tcPr>
          <w:p>
            <w:pPr>
              <w:spacing w:after="0"/>
            </w:pPr>
            <w:r/>
            <w:r>
              <w:rPr>
                <w:sz w:val="16"/>
              </w:rPr>
              <w:t>8.3%</w:t>
            </w:r>
          </w:p>
        </w:tc>
      </w:tr>
      <w:tr>
        <w:tc>
          <w:tcPr>
            <w:tcW w:type="dxa" w:w="2198"/>
          </w:tcPr>
          <w:p>
            <w:pPr>
              <w:spacing w:after="0"/>
            </w:pPr>
            <w:r/>
            <w:r>
              <w:rPr>
                <w:sz w:val="16"/>
              </w:rPr>
              <w:t>LightGBM</w:t>
            </w:r>
          </w:p>
        </w:tc>
        <w:tc>
          <w:tcPr>
            <w:tcW w:type="dxa" w:w="1832"/>
          </w:tcPr>
          <w:p>
            <w:pPr>
              <w:spacing w:after="0"/>
            </w:pPr>
            <w:r/>
            <w:r>
              <w:rPr>
                <w:sz w:val="16"/>
              </w:rPr>
              <w:t>0.1127 ± 0.0105</w:t>
            </w:r>
          </w:p>
        </w:tc>
        <w:tc>
          <w:tcPr>
            <w:tcW w:type="dxa" w:w="1221"/>
          </w:tcPr>
          <w:p>
            <w:pPr>
              <w:spacing w:after="0"/>
            </w:pPr>
            <w:r/>
            <w:r>
              <w:rPr>
                <w:sz w:val="16"/>
              </w:rPr>
              <w:t>19,297</w:t>
            </w:r>
          </w:p>
        </w:tc>
        <w:tc>
          <w:tcPr>
            <w:tcW w:type="dxa" w:w="1221"/>
          </w:tcPr>
          <w:p>
            <w:pPr>
              <w:spacing w:after="0"/>
            </w:pPr>
            <w:r/>
            <w:r>
              <w:rPr>
                <w:sz w:val="16"/>
              </w:rPr>
              <w:t>13,634</w:t>
            </w:r>
          </w:p>
        </w:tc>
        <w:tc>
          <w:tcPr>
            <w:tcW w:type="dxa" w:w="916"/>
          </w:tcPr>
          <w:p>
            <w:pPr>
              <w:spacing w:after="0"/>
            </w:pPr>
            <w:r/>
            <w:r>
              <w:rPr>
                <w:sz w:val="16"/>
              </w:rPr>
              <w:t>0.933</w:t>
            </w:r>
          </w:p>
        </w:tc>
        <w:tc>
          <w:tcPr>
            <w:tcW w:type="dxa" w:w="1221"/>
          </w:tcPr>
          <w:p>
            <w:pPr>
              <w:spacing w:after="0"/>
            </w:pPr>
            <w:r/>
            <w:r>
              <w:rPr>
                <w:sz w:val="16"/>
              </w:rPr>
              <w:t>0.1177</w:t>
            </w:r>
          </w:p>
        </w:tc>
        <w:tc>
          <w:tcPr>
            <w:tcW w:type="dxa" w:w="916"/>
          </w:tcPr>
          <w:p>
            <w:pPr>
              <w:spacing w:after="0"/>
            </w:pPr>
            <w:r/>
            <w:r>
              <w:rPr>
                <w:sz w:val="16"/>
              </w:rPr>
              <w:t>8.3%</w:t>
            </w:r>
          </w:p>
        </w:tc>
      </w:tr>
      <w:tr>
        <w:tc>
          <w:tcPr>
            <w:tcW w:type="dxa" w:w="2198"/>
          </w:tcPr>
          <w:p>
            <w:pPr>
              <w:spacing w:after="0"/>
            </w:pPr>
            <w:r/>
            <w:r>
              <w:rPr>
                <w:sz w:val="16"/>
              </w:rPr>
              <w:t>Ridge (baseline)</w:t>
            </w:r>
          </w:p>
        </w:tc>
        <w:tc>
          <w:tcPr>
            <w:tcW w:type="dxa" w:w="1832"/>
          </w:tcPr>
          <w:p>
            <w:pPr>
              <w:spacing w:after="0"/>
            </w:pPr>
            <w:r/>
            <w:r>
              <w:rPr>
                <w:sz w:val="16"/>
              </w:rPr>
              <w:t>0.1146 ± 0.0088</w:t>
            </w:r>
          </w:p>
        </w:tc>
        <w:tc>
          <w:tcPr>
            <w:tcW w:type="dxa" w:w="1221"/>
          </w:tcPr>
          <w:p>
            <w:pPr>
              <w:spacing w:after="0"/>
            </w:pPr>
            <w:r/>
            <w:r>
              <w:rPr>
                <w:sz w:val="16"/>
              </w:rPr>
              <w:t>19,088</w:t>
            </w:r>
          </w:p>
        </w:tc>
        <w:tc>
          <w:tcPr>
            <w:tcW w:type="dxa" w:w="1221"/>
          </w:tcPr>
          <w:p>
            <w:pPr>
              <w:spacing w:after="0"/>
            </w:pPr>
            <w:r/>
            <w:r>
              <w:rPr>
                <w:sz w:val="16"/>
              </w:rPr>
              <w:t>13,775</w:t>
            </w:r>
          </w:p>
        </w:tc>
        <w:tc>
          <w:tcPr>
            <w:tcW w:type="dxa" w:w="916"/>
          </w:tcPr>
          <w:p>
            <w:pPr>
              <w:spacing w:after="0"/>
            </w:pPr>
            <w:r/>
            <w:r>
              <w:rPr>
                <w:sz w:val="16"/>
              </w:rPr>
              <w:t>0.934</w:t>
            </w:r>
          </w:p>
        </w:tc>
        <w:tc>
          <w:tcPr>
            <w:tcW w:type="dxa" w:w="1221"/>
          </w:tcPr>
          <w:p>
            <w:pPr>
              <w:spacing w:after="0"/>
            </w:pPr>
            <w:r/>
            <w:r>
              <w:rPr>
                <w:sz w:val="16"/>
              </w:rPr>
              <w:t>0.1139</w:t>
            </w:r>
          </w:p>
        </w:tc>
        <w:tc>
          <w:tcPr>
            <w:tcW w:type="dxa" w:w="916"/>
          </w:tcPr>
          <w:p>
            <w:pPr>
              <w:spacing w:after="0"/>
            </w:pPr>
            <w:r/>
            <w:r>
              <w:rPr>
                <w:sz w:val="16"/>
              </w:rPr>
              <w:t>8.2%</w:t>
            </w:r>
          </w:p>
        </w:tc>
      </w:tr>
    </w:tbl>
    <w:p>
      <w:pPr>
        <w:spacing w:after="80" w:before="0" w:line="264" w:lineRule="auto"/>
      </w:pPr>
    </w:p>
    <w:p>
      <w:pPr>
        <w:spacing w:after="20" w:before="0" w:line="264" w:lineRule="auto"/>
        <w:jc w:val="center"/>
      </w:pPr>
      <w:r>
        <w:drawing>
          <wp:inline xmlns:a="http://schemas.openxmlformats.org/drawingml/2006/main" xmlns:pic="http://schemas.openxmlformats.org/drawingml/2006/picture">
            <wp:extent cx="5760000" cy="1355294"/>
            <wp:docPr id="12" name="Picture 12"/>
            <wp:cNvGraphicFramePr>
              <a:graphicFrameLocks noChangeAspect="1"/>
            </wp:cNvGraphicFramePr>
            <a:graphic>
              <a:graphicData uri="http://schemas.openxmlformats.org/drawingml/2006/picture">
                <pic:pic>
                  <pic:nvPicPr>
                    <pic:cNvPr id="0" name="12_model_comparison.png"/>
                    <pic:cNvPicPr/>
                  </pic:nvPicPr>
                  <pic:blipFill>
                    <a:blip r:embed="rId20"/>
                    <a:stretch>
                      <a:fillRect/>
                    </a:stretch>
                  </pic:blipFill>
                  <pic:spPr>
                    <a:xfrm>
                      <a:off x="0" y="0"/>
                      <a:ext cx="5760000" cy="1355294"/>
                    </a:xfrm>
                    <a:prstGeom prst="rect"/>
                  </pic:spPr>
                </pic:pic>
              </a:graphicData>
            </a:graphic>
          </wp:inline>
        </w:drawing>
      </w:r>
    </w:p>
    <w:p>
      <w:pPr>
        <w:spacing w:after="100" w:before="0" w:line="264" w:lineRule="auto"/>
        <w:jc w:val="center"/>
      </w:pPr>
      <w:r>
        <w:rPr>
          <w:i/>
          <w:sz w:val="16"/>
        </w:rPr>
        <w:t>Figure 12 - Test RMSE, MAE and R² by model</w:t>
      </w:r>
    </w:p>
    <w:p>
      <w:pPr>
        <w:spacing w:after="30" w:before="0" w:line="264" w:lineRule="auto"/>
        <w:ind w:left="255" w:hanging="170"/>
      </w:pPr>
      <w:r>
        <w:rPr>
          <w:b w:val="0"/>
          <w:sz w:val="19"/>
        </w:rPr>
        <w:t xml:space="preserve">• </w:t>
      </w:r>
      <w:r>
        <w:rPr>
          <w:b/>
          <w:sz w:val="19"/>
        </w:rPr>
        <w:t>CatBoost is the best model</w:t>
      </w:r>
      <w:r>
        <w:rPr>
          <w:b w:val="0"/>
          <w:sz w:val="19"/>
        </w:rPr>
        <w:t xml:space="preserve">, both in CV (RMSE 0.109 on log price) and on the unseen test set: </w:t>
      </w:r>
      <w:r>
        <w:rPr>
          <w:b/>
          <w:sz w:val="19"/>
        </w:rPr>
        <w:t>RMSE $18,205, MAE $13,087, R² = 0.940</w:t>
      </w:r>
      <w:r>
        <w:rPr>
          <w:b w:val="0"/>
          <w:sz w:val="19"/>
        </w:rPr>
        <w:t>. It explains 94% of the variance in sale prices, and a typical prediction is off by about 7.9%.</w:t>
      </w:r>
    </w:p>
    <w:p>
      <w:pPr>
        <w:spacing w:after="30" w:before="0" w:line="264" w:lineRule="auto"/>
        <w:ind w:left="255" w:hanging="170"/>
      </w:pPr>
      <w:r>
        <w:rPr>
          <w:b w:val="0"/>
          <w:sz w:val="19"/>
        </w:rPr>
        <w:t xml:space="preserve">• </w:t>
      </w:r>
      <w:r>
        <w:rPr>
          <w:b/>
          <w:sz w:val="19"/>
        </w:rPr>
        <w:t>XGBoost and LightGBM</w:t>
      </w:r>
      <w:r>
        <w:rPr>
          <w:b w:val="0"/>
          <w:sz w:val="19"/>
        </w:rPr>
        <w:t xml:space="preserve"> follow closely (R² 0.932-0.933, MAE about $13.6-14.0k).</w:t>
      </w:r>
    </w:p>
    <w:p>
      <w:pPr>
        <w:spacing w:after="30" w:before="0" w:line="264" w:lineRule="auto"/>
        <w:ind w:left="255" w:hanging="170"/>
      </w:pPr>
      <w:r>
        <w:rPr>
          <w:b w:val="0"/>
          <w:sz w:val="19"/>
        </w:rPr>
        <w:t xml:space="preserve">• </w:t>
      </w:r>
      <w:r>
        <w:rPr>
          <w:b/>
          <w:sz w:val="19"/>
        </w:rPr>
        <w:t>The Ridge baseline is competitive</w:t>
      </w:r>
      <w:r>
        <w:rPr>
          <w:b w:val="0"/>
          <w:sz w:val="19"/>
        </w:rPr>
        <w:t xml:space="preserve"> (R² 0.934). With well-engineered features and a log target, much of the signal is close to linear. All the gaps are within about one CV standard deviation (about 0.01), so CatBoost's lead is real but small. Averaging the three boosters (R² 0.938) is a robust alternative.</w:t>
      </w:r>
    </w:p>
    <w:p>
      <w:pPr>
        <w:spacing w:after="30" w:before="0" w:line="264" w:lineRule="auto"/>
        <w:ind w:left="255" w:hanging="170"/>
      </w:pPr>
      <w:r>
        <w:rPr>
          <w:b w:val="0"/>
          <w:sz w:val="19"/>
        </w:rPr>
        <w:t xml:space="preserve">• </w:t>
      </w:r>
      <w:r>
        <w:rPr>
          <w:b/>
          <w:sz w:val="19"/>
        </w:rPr>
        <w:t>RMSE vs MAE:</w:t>
      </w:r>
      <w:r>
        <w:rPr>
          <w:b w:val="0"/>
          <w:sz w:val="19"/>
        </w:rPr>
        <w:t xml:space="preserve"> RMSE ($18.2k) is about 40% above MAE ($13.1k), so a few houses have much larger errors than typical. Most of these are expensive homes (the top-quartile MAE is about $22k), which is consistent with the residual plots below.</w:t>
      </w:r>
    </w:p>
    <w:p>
      <w:pPr>
        <w:spacing w:after="30" w:before="0" w:line="264" w:lineRule="auto"/>
        <w:ind w:left="255" w:hanging="170"/>
      </w:pPr>
      <w:r>
        <w:rPr>
          <w:b w:val="0"/>
          <w:sz w:val="19"/>
        </w:rPr>
        <w:t xml:space="preserve">• </w:t>
      </w:r>
      <w:r>
        <w:rPr>
          <w:b/>
          <w:sz w:val="19"/>
        </w:rPr>
        <w:t>Error by price band (CatBoost):</w:t>
      </w:r>
      <w:r>
        <w:rPr>
          <w:b w:val="0"/>
          <w:sz w:val="19"/>
        </w:rPr>
        <w:t xml:space="preserve"> the MAE is $9.7k in the cheapest quartile and $22.5k in the most expensive. In percentage terms the errors are similar (6-8%) except for the cheapest homes (11%), which are the hardest to price in relative terms.</w:t>
      </w:r>
    </w:p>
    <w:p>
      <w:pPr>
        <w:spacing w:after="20" w:before="0" w:line="264" w:lineRule="auto"/>
        <w:jc w:val="center"/>
      </w:pPr>
      <w:r>
        <w:drawing>
          <wp:inline xmlns:a="http://schemas.openxmlformats.org/drawingml/2006/main" xmlns:pic="http://schemas.openxmlformats.org/drawingml/2006/picture">
            <wp:extent cx="5760000" cy="3049412"/>
            <wp:docPr id="13" name="Picture 13"/>
            <wp:cNvGraphicFramePr>
              <a:graphicFrameLocks noChangeAspect="1"/>
            </wp:cNvGraphicFramePr>
            <a:graphic>
              <a:graphicData uri="http://schemas.openxmlformats.org/drawingml/2006/picture">
                <pic:pic>
                  <pic:nvPicPr>
                    <pic:cNvPr id="0" name="13_pred_vs_actual.png"/>
                    <pic:cNvPicPr/>
                  </pic:nvPicPr>
                  <pic:blipFill>
                    <a:blip r:embed="rId21"/>
                    <a:stretch>
                      <a:fillRect/>
                    </a:stretch>
                  </pic:blipFill>
                  <pic:spPr>
                    <a:xfrm>
                      <a:off x="0" y="0"/>
                      <a:ext cx="5760000" cy="3049412"/>
                    </a:xfrm>
                    <a:prstGeom prst="rect"/>
                  </pic:spPr>
                </pic:pic>
              </a:graphicData>
            </a:graphic>
          </wp:inline>
        </w:drawing>
      </w:r>
    </w:p>
    <w:p>
      <w:pPr>
        <w:spacing w:after="100" w:before="0" w:line="264" w:lineRule="auto"/>
        <w:jc w:val="center"/>
      </w:pPr>
      <w:r>
        <w:rPr>
          <w:i/>
          <w:sz w:val="16"/>
        </w:rPr>
        <w:t>Figure 13 - Predicted vs actual (top) and residuals (bottom) on the test set</w:t>
      </w:r>
    </w:p>
    <w:p>
      <w:pPr>
        <w:spacing w:after="20" w:before="0" w:line="264" w:lineRule="auto"/>
        <w:jc w:val="center"/>
      </w:pPr>
      <w:r>
        <w:drawing>
          <wp:inline xmlns:a="http://schemas.openxmlformats.org/drawingml/2006/main" xmlns:pic="http://schemas.openxmlformats.org/drawingml/2006/picture">
            <wp:extent cx="5760000" cy="1920000"/>
            <wp:docPr id="14" name="Picture 14"/>
            <wp:cNvGraphicFramePr>
              <a:graphicFrameLocks noChangeAspect="1"/>
            </wp:cNvGraphicFramePr>
            <a:graphic>
              <a:graphicData uri="http://schemas.openxmlformats.org/drawingml/2006/picture">
                <pic:pic>
                  <pic:nvPicPr>
                    <pic:cNvPr id="0" name="14_feature_importance.png"/>
                    <pic:cNvPicPr/>
                  </pic:nvPicPr>
                  <pic:blipFill>
                    <a:blip r:embed="rId22"/>
                    <a:stretch>
                      <a:fillRect/>
                    </a:stretch>
                  </pic:blipFill>
                  <pic:spPr>
                    <a:xfrm>
                      <a:off x="0" y="0"/>
                      <a:ext cx="5760000" cy="1920000"/>
                    </a:xfrm>
                    <a:prstGeom prst="rect"/>
                  </pic:spPr>
                </pic:pic>
              </a:graphicData>
            </a:graphic>
          </wp:inline>
        </w:drawing>
      </w:r>
    </w:p>
    <w:p>
      <w:pPr>
        <w:spacing w:after="100" w:before="0" w:line="264" w:lineRule="auto"/>
        <w:jc w:val="center"/>
      </w:pPr>
      <w:r>
        <w:rPr>
          <w:i/>
          <w:sz w:val="16"/>
        </w:rPr>
        <w:t>Figure 14 - Top-15 features per model (orange = engineered interactions)</w:t>
      </w:r>
    </w:p>
    <w:p>
      <w:pPr>
        <w:spacing w:after="60" w:before="0" w:line="264" w:lineRule="auto"/>
      </w:pPr>
      <w:r>
        <w:rPr>
          <w:b/>
          <w:sz w:val="19"/>
        </w:rPr>
        <w:t>What the models learned:</w:t>
      </w:r>
      <w:r>
        <w:rPr>
          <w:b w:val="0"/>
          <w:sz w:val="19"/>
        </w:rPr>
        <w:t xml:space="preserve"> all three rank </w:t>
      </w:r>
      <w:r>
        <w:rPr>
          <w:b/>
          <w:sz w:val="19"/>
        </w:rPr>
        <w:t>Qual_x_TotalSF</w:t>
      </w:r>
      <w:r>
        <w:rPr>
          <w:b w:val="0"/>
          <w:sz w:val="19"/>
        </w:rPr>
        <w:t xml:space="preserve">, </w:t>
      </w:r>
      <w:r>
        <w:rPr>
          <w:b/>
          <w:sz w:val="19"/>
        </w:rPr>
        <w:t>Qual_x_LivArea</w:t>
      </w:r>
      <w:r>
        <w:rPr>
          <w:b w:val="0"/>
          <w:sz w:val="19"/>
        </w:rPr>
        <w:t xml:space="preserve"> and </w:t>
      </w:r>
      <w:r>
        <w:rPr>
          <w:b/>
          <w:sz w:val="19"/>
        </w:rPr>
        <w:t>TotalSF</w:t>
      </w:r>
      <w:r>
        <w:rPr>
          <w:b w:val="0"/>
          <w:sz w:val="19"/>
        </w:rPr>
        <w:t xml:space="preserve"> at the top. These are quality and size combined, which confirms the EDA finding. They are followed by OverallQual, Kitchen_x_Qual, HouseAge, TotalBath and LotArea.</w:t>
      </w:r>
    </w:p>
    <w:p>
      <w:pPr>
        <w:spacing w:after="60" w:before="0" w:line="264" w:lineRule="auto"/>
      </w:pPr>
      <w:r>
        <w:rPr>
          <w:b/>
          <w:sz w:val="19"/>
        </w:rPr>
        <w:t>Conclusion:</w:t>
      </w:r>
      <w:r>
        <w:rPr>
          <w:b w:val="0"/>
          <w:sz w:val="19"/>
        </w:rPr>
        <w:t xml:space="preserve"> sale price is mainly driven by </w:t>
      </w:r>
      <w:r>
        <w:rPr>
          <w:b/>
          <w:sz w:val="19"/>
        </w:rPr>
        <w:t>how good, how big and how new</w:t>
      </w:r>
      <w:r>
        <w:rPr>
          <w:b w:val="0"/>
          <w:sz w:val="19"/>
        </w:rPr>
        <w:t xml:space="preserve"> a house is, and by where it sits. CatBoost predicts it with R² = 0.94 and a typical error of about $13k (MAE).</w:t>
      </w:r>
    </w:p>
    <w:p>
      <w:pPr>
        <w:spacing w:after="60" w:before="0" w:line="264" w:lineRule="auto"/>
      </w:pPr>
      <w:r>
        <w:rPr>
          <w:b/>
          <w:sz w:val="19"/>
        </w:rPr>
        <w:t>Limitations:</w:t>
      </w:r>
      <w:r>
        <w:rPr>
          <w:b w:val="0"/>
          <w:sz w:val="19"/>
        </w:rPr>
        <w:t xml:space="preserve"> the data covers one city (Ames, 2006-2010) and 1,458 sales, so the model should be retrained before being used in another market. Possible next steps are stacking the boosters with Ridge and adding SHAP explanations for individual predictions.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9 Graded Mini Project: House Sales Data Analysis</dc:title>
  <dc:subject/>
  <dc:creator>Arpit Jain</dc:creator>
  <cp:keywords/>
  <dc:description/>
  <cp:lastModifiedBy>Arpit Jain</cp:lastModifiedBy>
  <cp:revision>1</cp:revision>
  <dcterms:created xsi:type="dcterms:W3CDTF">2013-12-23T23:15:00Z</dcterms:created>
  <dcterms:modified xsi:type="dcterms:W3CDTF">2013-12-23T23:15:00Z</dcterms:modified>
  <cp:category/>
</cp:coreProperties>
</file>