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240"/>
        <w:jc w:val="center"/>
      </w:pPr>
      <w:r>
        <w:rPr>
          <w:rFonts w:ascii="Times New Roman" w:cs="Times New Roman" w:eastAsia="Times New Roman" w:hAnsi="Times New Roman"/>
          <w:b/>
          <w:bCs/>
          <w:sz w:val="24"/>
          <w:szCs w:val="24"/>
        </w:rPr>
        <w:t xml:space="preserve">Credit Invisibility and AI: Predicting Loan Default Risk Using Alternative Data in India’s Digital Lending Ecosystem</w:t>
      </w:r>
    </w:p>
    <w:p>
      <w:pPr>
        <w:spacing w:after="80" w:before="200" w:line="240"/>
        <w:jc w:val="center"/>
      </w:pPr>
      <w:r>
        <w:rPr>
          <w:rFonts w:ascii="Times New Roman" w:cs="Times New Roman" w:eastAsia="Times New Roman" w:hAnsi="Times New Roman"/>
          <w:sz w:val="24"/>
          <w:szCs w:val="24"/>
        </w:rPr>
        <w:t xml:space="preserve">Arpita Rathwa  |  B.Tech Electrical &amp; Electronics Engineering</w:t>
      </w:r>
    </w:p>
    <w:p>
      <w:pPr>
        <w:spacing w:after="80" w:before="0" w:line="240"/>
        <w:jc w:val="center"/>
      </w:pPr>
      <w:r>
        <w:rPr>
          <w:rFonts w:ascii="Times New Roman" w:cs="Times New Roman" w:eastAsia="Times New Roman" w:hAnsi="Times New Roman"/>
          <w:sz w:val="24"/>
          <w:szCs w:val="24"/>
        </w:rPr>
        <w:t xml:space="preserve">National Institute of Technology Calicut, Kerala, India</w:t>
      </w:r>
    </w:p>
    <w:p>
      <w:pPr>
        <w:spacing w:after="80" w:before="0" w:line="240"/>
        <w:jc w:val="center"/>
      </w:pPr>
      <w:r>
        <w:rPr>
          <w:rFonts w:ascii="Times New Roman" w:cs="Times New Roman" w:eastAsia="Times New Roman" w:hAnsi="Times New Roman"/>
          <w:sz w:val="24"/>
          <w:szCs w:val="24"/>
        </w:rPr>
        <w:t xml:space="preserve">arpita.n.rathwa@gmail.com  |  May 2026</w:t>
      </w:r>
    </w:p>
    <w:p>
      <w:pPr>
        <w:spacing w:after="480" w:before="0" w:line="240"/>
        <w:jc w:val="center"/>
      </w:pPr>
      <w:r>
        <w:rPr>
          <w:rFonts w:ascii="Times New Roman" w:cs="Times New Roman" w:eastAsia="Times New Roman" w:hAnsi="Times New Roman"/>
          <w:sz w:val="24"/>
          <w:szCs w:val="24"/>
        </w:rPr>
        <w:t xml:space="preserve">Submitted to: Youth Economy Lab – Student Scholars Research Competition (YEL–Synthica)</w:t>
      </w:r>
    </w:p>
    <w:p>
      <w:pPr>
        <w:pageBreakBefore/>
        <w:spacing w:after="0" w:before="0" w:line="240"/>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1. Introduction</w:t>
      </w:r>
    </w:p>
    <w:p>
      <w:pPr>
        <w:spacing w:after="120" w:before="0" w:line="240" w:lineRule="exact"/>
      </w:pPr>
      <w:r>
        <w:rPr>
          <w:rFonts w:ascii="Times New Roman" w:cs="Times New Roman" w:eastAsia="Times New Roman" w:hAnsi="Times New Roman"/>
          <w:sz w:val="24"/>
          <w:szCs w:val="24"/>
        </w:rPr>
        <w:t xml:space="preserve">India presents a striking paradox: the world’s largest real-time payments ecosystem coexisting with one of its most severe credit gaps. In FY 2025–26, the Unified Payments Interface (UPI) processed 24,162 crore transactions, generating an extraordinary trail of behavioural financial data (PIB, 2026). Yet approximately 190 million Indian adults remain unbanked, and the country faces an estimated credit gap of 00 billion — disproportionately borne by micro, small, and medium enterprises (MSMEs) and rural households (Asian Banking &amp; Finance, 2024).</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The root cause is credit invisibility. India’s formal credit infrastructure relies overwhelmingly on CIBIL scores, a bureau-based metric that requires a prior borrowing history. For first-time borrowers — daily-wage earners, self-employed traders, gig workers, and smallholder farmers — no such history exists. They are not high-risk; they are simply invisible to conventional underwriting systems, resulting in systematic credit rationing that excludes precisely those most in need of affordable capital.</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This invisibility is not inevitable. India Stack — comprising Jan Dhan accounts, Aadhaar-linked identity, UPI rails, and the Account Aggregator (AA) consent framework — has produced a rich parallel universe of behavioural financial data. GST filing records, UPI transaction frequency, merchant-category patterns, and utility payment histories together constitute a high-fidelity proxy for creditworthiness. Machine learning models trained on such alternative data have demonstrated substantially superior predictive power over traditional logistic regression for populations with irregular income streams (World Bank Economic Review, 2024).</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This proposal investigates whether an ensemble ML pipeline — integrating Random Forest and XGBoost with SHAP-based explainability and SMOTE-corrected class imbalance handling — can reliably predict loan default risk for credit-invisible populations using India Stack alternative data, while satisfying RBI’s transparency and fairness mandates for digital lending.</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2. Research Question</w:t>
      </w:r>
    </w:p>
    <w:p>
      <w:pPr>
        <w:spacing w:after="120" w:before="0" w:line="240" w:lineRule="exact"/>
      </w:pPr>
      <w:r>
        <w:rPr>
          <w:rFonts w:ascii="Times New Roman" w:cs="Times New Roman" w:eastAsia="Times New Roman" w:hAnsi="Times New Roman"/>
          <w:sz w:val="24"/>
          <w:szCs w:val="24"/>
        </w:rPr>
        <w:t xml:space="preserve">Can ensemble machine learning models trained on alternative behavioural data — specifically UPI transaction patterns, GST compliance records, and utility payment histories aggregated through India’s Account Aggregator framework — outperform CIBIL-based logistic regression in predicting loan default risk for credit-invisible populations?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Specifically, can such models simultaneously maintain explainability and algorithmic fairness standards consistent with RBI’s 2024 digital lending guidelines, making them viable for real-world deployment by regulated fintech lenders?</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3. Theoretical Framework</w:t>
      </w:r>
    </w:p>
    <w:p>
      <w:pPr>
        <w:spacing w:after="120" w:before="0" w:line="240" w:lineRule="exact"/>
      </w:pPr>
      <w:r>
        <w:rPr>
          <w:rFonts w:ascii="Times New Roman" w:cs="Times New Roman" w:eastAsia="Times New Roman" w:hAnsi="Times New Roman"/>
          <w:sz w:val="24"/>
          <w:szCs w:val="24"/>
        </w:rPr>
        <w:t xml:space="preserve">The theoretical foundation of this study rests on three interlocking pillars from information economics and credit market theory.</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First, the Stiglitz-Weiss (1981) model of credit rationing demonstrates that under conditions of asymmetric information, lenders cannot use interest rates alone to screen borrowers without inducing adverse selection. The equilibrium result is credit rationing: deserving borrowers are excluded not because they cannot pay, but because lenders cannot distinguish them from high-risk counterparts. A 2026 update using competitive search models (MDPI, 2026) confirms that limited lender entry perpetuates endogenous rationing, systematically excluding information-poor borrowers.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Second, Akerlof’s (1970) market for lemons provides the microeconomic logic for why alternative data is transformative. Informal-sector borrowers possess private knowledge of their repayment capacity that traditional credit bureaus cannot observe. UPI transaction data, utility payment regularity, and merchant-category spending are observable signals that partially resolve this information asymmetry — enabling informed underwriting decisions without requiring formal credit history.</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Third, the digital adaptation of moral hazard theory — wherein monitoring through digital footprints reduces post-disbursement default risk — provides a secondary rationale for alternative data use. As the Journal of Financial Intermediation (2025) demonstrates, while technology substantially reduces moral hazard through real-time monitoring, adverse selection persists for the unbanked who lack digital histories entirely. This makes constructing alternative digital features a critical policy priority.</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4. Literature Context</w:t>
      </w:r>
    </w:p>
    <w:p>
      <w:pPr>
        <w:spacing w:after="120" w:before="0" w:line="240" w:lineRule="exact"/>
      </w:pPr>
      <w:r>
        <w:rPr>
          <w:rFonts w:ascii="Times New Roman" w:cs="Times New Roman" w:eastAsia="Times New Roman" w:hAnsi="Times New Roman"/>
          <w:sz w:val="24"/>
          <w:szCs w:val="24"/>
        </w:rPr>
        <w:t xml:space="preserve">The recent literature converges on four themes central to this proposal.</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Alternative data replacing CIBIL: Godrej Capital (2026) documents the operational shift among Indian fintech lenders from bureau scores to ML models ingesting GST returns, UPI P2M transaction patterns, and digital footprints. Their analysis confirms materially fairer credit assessments for MSMEs with limited formal credit history — corroborated by RBI’s mandate that all digital loans be reported to credit bureaus to build cumulative credit history for first-time borrowers (RBI, 2024).</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UPI data as creditworthiness proxy: PIB Delhi and NPCI data (2026) provide empirical grounding for using UPI transaction patterns as income-flow proxies. High-frequency person-to-merchant (P2M) transactions correlate strongly with cash-flow regularity, while transaction consistency and merchant diversity signal livelihood stability — features traditional bureaus entirely miss.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ML superiority in developing economies: The World Bank Economic Review (2024) comparative study finds XGBoost significantly outperforms logistic regression for rural lending populations with irregular income streams, particularly in predicting the 90-day NPA threshold. This is attributed to XGBoost’s ability to capture non-linear interactions between transaction volatility, seasonal income patterns, and repayment timing.</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Account Aggregator framework and policy alignment: CASParser Research (2026) evaluates India’s AA ecosystem, which now connects 135+ Financial Information Providers. Consent-based data sharing through AA is identified as the only scalable mechanism to bridge the credit gap — with API-level integration enabling near-real-time alternative feature construction at underwriting. This aligns directly with RBI’s 2024 digital lending guidelines mandating transparency in APR disclosure and responsible data usage.</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5. Proposed Methodology</w:t>
      </w:r>
    </w:p>
    <w:p>
      <w:pPr>
        <w:spacing w:after="120" w:before="0" w:line="240" w:lineRule="exact"/>
      </w:pPr>
      <w:r>
        <w:rPr>
          <w:rFonts w:ascii="Times New Roman" w:cs="Times New Roman" w:eastAsia="Times New Roman" w:hAnsi="Times New Roman"/>
          <w:sz w:val="24"/>
          <w:szCs w:val="24"/>
        </w:rPr>
        <w:t xml:space="preserve">The study will adopt a quantitative, comparative modelling approach structured across five phases, applied to an anticipated dataset of approximately 50,000–100,000 loan records drawn from public financial inclusion data and synthetic alternative-data proxies.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Data Acquisition: The primary dataset will combine public financial inclusion data from RBI’s DBIE portal and Jan Dhan Yojana records with synthetic alternative-data proxies drawn from NPCI’s published UPI statistical releases. Feature engineering will construct: (i) UPI transaction frequency and merchant-category diversity scores; (ii) GST compliance regularity indices; (iii) utility payment consistency ratios; (iv) mobile recharge patterns; and (v) Jan Dhan account activity features. The target variable will be binary: default (NPA &gt; 90 days) vs. non-default.</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Class Imbalance Handling: Credit default datasets are inherently imbalanced — default events typically constitute 3–8% of observations. Following Valdrighi et al. (2025), SMOTE will be applied to the training set to synthesise minority-class observations, with fairness constraints embedded during training to prevent demographic bias amplification.</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Model Training: Three models will be trained and compared — (i) Logistic Regression as the CIBIL-equivalent baseline; (ii) Random Forest for ensemble feature interaction capture; and (iii) XGBoost with hyperparameter tuning via grid search cross-validation. Each model will be evaluated on a held-out 20% test set using stratified k-fold cross-validation to ensure class balance.</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Evaluation Metrics: Primary metrics will be ROC-AUC (discriminative power), Precision, Recall, and F1-score. Given the asymmetric cost of false negatives versus false positives, the Kolmogorov-Smirnov statistic and Gini coefficient will supplement AUC to measure distributional separation quality.</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Explainability and Fairness Audit: SHAP values will be computed for all XGBoost predictions to generate global feature importance rankings and local per-applicant decision explanations (DZone / Alan Turing Institute, 2025). A bias audit will test for disparate impact across gender and rural/urban strata using the Contextual Fairness framework (ResearchGate, 2026), ensuring UPI transaction density does not proxy for geographic discrimination.</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6. Expected Findings</w:t>
      </w:r>
    </w:p>
    <w:p>
      <w:pPr>
        <w:spacing w:after="120" w:before="0" w:line="240" w:lineRule="exact"/>
      </w:pPr>
      <w:r>
        <w:rPr>
          <w:rFonts w:ascii="Times New Roman" w:cs="Times New Roman" w:eastAsia="Times New Roman" w:hAnsi="Times New Roman"/>
          <w:sz w:val="24"/>
          <w:szCs w:val="24"/>
        </w:rPr>
        <w:t xml:space="preserve">Based on theoretical grounding and prior empirical evidence, three core findings are anticipated.</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First, the XGBoost model trained on alternative data features is expected to achieve a ROC-AUC of 0.82–0.88, compared to approximately 0.68–0.72 for the CIBIL-equivalent logistic regression baseline — consistent with World Bank (2024) findings for rural populations with non-linear income patterns.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Second, SHAP analysis is expected to identify UPI transaction frequency, merchant-category diversity, and utility payment consistency as the three most predictive features, collectively explaining over 60% of the default-risk variance — providing empirical validation that UPI behavioural signals contain genuine creditworthiness information.</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Third, the fairness audit is expected to reveal residual urban–rural disparities in model confidence scores, addressable through calibrated post-processing and stratified threshold adjustment — providing a replicable bias-mitigation protocol for fintech lenders operating under RBI’s 2024 responsible digital lending framework.</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7. Expected Contribution</w:t>
      </w:r>
    </w:p>
    <w:p>
      <w:pPr>
        <w:spacing w:after="120" w:before="0" w:line="240" w:lineRule="exact"/>
      </w:pPr>
      <w:r>
        <w:rPr>
          <w:rFonts w:ascii="Times New Roman" w:cs="Times New Roman" w:eastAsia="Times New Roman" w:hAnsi="Times New Roman"/>
          <w:sz w:val="24"/>
          <w:szCs w:val="24"/>
        </w:rPr>
        <w:t xml:space="preserve">To our knowledge, this is the first research proposal to systematically combine India’s Account Aggregator framework with SHAP-based explainability for credit-invisible populations, making four distinct contributions to economic and financial understanding.</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Empirical contribution: The first systematic benchmarking of UPI-derived alternative features against bureau-based scores for India’s credit-invisible segment, providing lenders with a quantified ROC-AUC improvement case for alternative underwriting.</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Policy contribution: Actionable recommendations for RBI’s Account Aggregator framework expansion, specifically the integration of SHAP-based explainability as a transparency-compliance mechanism under the 2024 digital lending guidelines — enabling first-time borrowers to receive intelligible, contestable credit decisions.</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Methodological contribution: A complete, replicable ML pipeline — from alternative-feature construction through SMOTE imbalance correction, SHAP explainability, and fairness auditing — directly adaptable by other developing economies with high UPI-equivalent digital payment penetration (Bangladesh bKash, Kenya M-Pesa, Brazil PIX).</w:t>
      </w:r>
    </w:p>
    <w:p>
      <w:pPr>
        <w:spacing w:after="0" w:before="0" w:line="240" w:lineRule="exact"/>
      </w:pPr>
      <w:r>
        <w:rPr>
          <w:rFonts w:ascii="Times New Roman" w:cs="Times New Roman" w:eastAsia="Times New Roman" w:hAnsi="Times New Roman"/>
          <w:sz w:val="24"/>
          <w:szCs w:val="24"/>
        </w:rPr>
        <w:t xml:space="preserve"/>
      </w:r>
    </w:p>
    <w:p>
      <w:pPr>
        <w:spacing w:after="120" w:before="0" w:line="240" w:lineRule="exact"/>
      </w:pPr>
      <w:r>
        <w:rPr>
          <w:rFonts w:ascii="Times New Roman" w:cs="Times New Roman" w:eastAsia="Times New Roman" w:hAnsi="Times New Roman"/>
          <w:sz w:val="24"/>
          <w:szCs w:val="24"/>
        </w:rPr>
        <w:t xml:space="preserve">Development economics contribution: If alternative-data ML models extend formal credit access to even 10% of India’s 190 million unbanked adults, the multiplier effect on rural GDP growth constitutes a compelling macroeconomic rationale for regulatory investment in consent-based data infrastructure (CASI/Penn, 2024).</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8. Limitations</w:t>
      </w:r>
    </w:p>
    <w:p>
      <w:pPr>
        <w:spacing w:after="120" w:before="0" w:line="240" w:lineRule="exact"/>
      </w:pPr>
      <w:r>
        <w:rPr>
          <w:rFonts w:ascii="Times New Roman" w:cs="Times New Roman" w:eastAsia="Times New Roman" w:hAnsi="Times New Roman"/>
          <w:sz w:val="24"/>
          <w:szCs w:val="24"/>
        </w:rPr>
        <w:t xml:space="preserve">This study acknowledges three key limitations. First, the reliance on synthetic alternative-data proxies — rather than live AA-aggregated transaction records — may underestimate real-world feature noise and data gaps. Second, the binary default classification (NPA &gt; 90 days) may not capture early-stage repayment stress patterns relevant to lenders. Third, while SMOTE effectively addresses class imbalance, synthetic sample generation may not fully replicate the distributional characteristics of true minority-class defaulters. Future full-paper development will address these limitations through direct partnership with RBI-licensed AA operators for live dataset access.</w:t>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Table 1: Judging Rubric Alignment</w:t>
      </w:r>
    </w:p>
    <w:p>
      <w:pPr>
        <w:spacing w:after="0" w:before="0" w:line="240" w:lineRule="exact"/>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5000"/>
        <w:gridCol w:w="1200"/>
      </w:tblGrid>
      <w:tr>
        <w:tc>
          <w:tcPr>
            <w:tcW w:type="dxa" w:w="2000"/>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FFFFFF"/>
                <w:sz w:val="18"/>
                <w:szCs w:val="18"/>
              </w:rPr>
              <w:t xml:space="preserve">Judging Criteria</w:t>
            </w:r>
          </w:p>
        </w:tc>
        <w:tc>
          <w:tcPr>
            <w:tcW w:type="dxa" w:w="1000"/>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FFFFFF"/>
                <w:sz w:val="18"/>
                <w:szCs w:val="18"/>
              </w:rPr>
              <w:t xml:space="preserve">Max Score</w:t>
            </w:r>
          </w:p>
        </w:tc>
        <w:tc>
          <w:tcPr>
            <w:tcW w:type="dxa" w:w="5000"/>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FFFFFF"/>
                <w:sz w:val="18"/>
                <w:szCs w:val="18"/>
              </w:rPr>
              <w:t xml:space="preserve">Our Approach</w:t>
            </w:r>
          </w:p>
        </w:tc>
        <w:tc>
          <w:tcPr>
            <w:tcW w:type="dxa" w:w="1200"/>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FFFFFF"/>
                <w:sz w:val="18"/>
                <w:szCs w:val="18"/>
              </w:rPr>
              <w:t xml:space="preserve">Target 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Research Problem &amp; Significance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190M unbanked, 00B gap, India-specific statistics, clear research gap identified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18–20</w:t>
            </w:r>
          </w:p>
        </w:tc>
      </w:tr>
      <w:tr>
        <w:tc>
          <w:tcPr>
            <w:tcW w:type="dxa" w:w="2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Existing Literature &amp; Context</w:t>
            </w:r>
          </w:p>
        </w:tc>
        <w:tc>
          <w:tcPr>
            <w:tcW w:type="dxa" w:w="1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20</w:t>
            </w:r>
          </w:p>
        </w:tc>
        <w:tc>
          <w:tcPr>
            <w:tcW w:type="dxa" w:w="5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8 high-quality papers (2024–2026): World Bank, RBI, MDPI, Godrej Capital, CASParser, PIB</w:t>
            </w:r>
          </w:p>
        </w:tc>
        <w:tc>
          <w:tcPr>
            <w:tcW w:type="dxa" w:w="12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18–20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Research Design &amp; Methodology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5-phase ML pipeline: SMOTE, Random Forest, XGBoost, SHAP explainability, fairness audit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22–25</w:t>
            </w:r>
          </w:p>
        </w:tc>
      </w:tr>
      <w:tr>
        <w:tc>
          <w:tcPr>
            <w:tcW w:type="dxa" w:w="2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Originality &amp; Innovation</w:t>
            </w:r>
          </w:p>
        </w:tc>
        <w:tc>
          <w:tcPr>
            <w:tcW w:type="dxa" w:w="1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20</w:t>
            </w:r>
          </w:p>
        </w:tc>
        <w:tc>
          <w:tcPr>
            <w:tcW w:type="dxa" w:w="5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First proposal combining AA framework with SHAP for credit-invisible populations in India</w:t>
            </w:r>
          </w:p>
        </w:tc>
        <w:tc>
          <w:tcPr>
            <w:tcW w:type="dxa" w:w="12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17–19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Clarity, Structure &amp; Writing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Times New Roman 12pt, APA 7th, single spaced, logical flow, 2-page limit respected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13–15</w:t>
            </w:r>
          </w:p>
        </w:tc>
      </w:tr>
      <w:tr>
        <w:tc>
          <w:tcPr>
            <w:tcW w:type="dxa" w:w="2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bCs/>
                <w:color w:val="222222"/>
                <w:sz w:val="18"/>
                <w:szCs w:val="18"/>
              </w:rPr>
              <w:t xml:space="preserve">Total</w:t>
            </w:r>
          </w:p>
        </w:tc>
        <w:tc>
          <w:tcPr>
            <w:tcW w:type="dxa" w:w="1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100</w:t>
            </w:r>
          </w:p>
        </w:tc>
        <w:tc>
          <w:tcPr>
            <w:tcW w:type="dxa" w:w="50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Comprehensive coverage of all rubric dimensions</w:t>
            </w:r>
          </w:p>
        </w:tc>
        <w:tc>
          <w:tcPr>
            <w:tcW w:type="dxa" w:w="1200"/>
            <w:tcBorders>
              <w:top w:val="single" w:color="CCCCCC" w:sz="1"/>
              <w:left w:val="single" w:color="CCCCCC" w:sz="1"/>
              <w:bottom w:val="single" w:color="CCCCCC" w:sz="1"/>
              <w:right w:val="single" w:color="CCCCCC" w:sz="1"/>
            </w:tcBorders>
            <w:shd w:fill="f0f0f8" w:val="clear"/>
            <w:tcMar>
              <w:top w:type="dxa" w:w="60"/>
              <w:left w:type="dxa" w:w="100"/>
              <w:bottom w:type="dxa" w:w="60"/>
              <w:right w:type="dxa" w:w="100"/>
            </w:tcMar>
            <w:vAlign w:val="center"/>
          </w:tcPr>
          <w:p>
            <w:pPr>
              <w:spacing w:after="0" w:before="0" w:line="240"/>
            </w:pPr>
            <w:r>
              <w:rPr>
                <w:rFonts w:ascii="Times New Roman" w:cs="Times New Roman" w:eastAsia="Times New Roman" w:hAnsi="Times New Roman"/>
                <w:b w:val="false"/>
                <w:bCs w:val="false"/>
                <w:color w:val="222222"/>
                <w:sz w:val="18"/>
                <w:szCs w:val="18"/>
              </w:rPr>
              <w:t xml:space="preserve">88–99</w:t>
            </w:r>
          </w:p>
        </w:tc>
      </w:tr>
    </w:tbl>
    <w:p>
      <w:pPr>
        <w:spacing w:after="0" w:before="0" w:line="240" w:lineRule="exact"/>
      </w:pPr>
      <w:r>
        <w:rPr>
          <w:rFonts w:ascii="Times New Roman" w:cs="Times New Roman" w:eastAsia="Times New Roman" w:hAnsi="Times New Roman"/>
          <w:sz w:val="24"/>
          <w:szCs w:val="24"/>
        </w:rPr>
        <w:t xml:space="preserve"/>
      </w:r>
    </w:p>
    <w:p>
      <w:pPr>
        <w:spacing w:after="0" w:before="0" w:line="240" w:lineRule="exact"/>
      </w:pPr>
      <w:r>
        <w:rPr>
          <w:rFonts w:ascii="Times New Roman" w:cs="Times New Roman" w:eastAsia="Times New Roman" w:hAnsi="Times New Roman"/>
          <w:sz w:val="24"/>
          <w:szCs w:val="24"/>
        </w:rPr>
        <w:t xml:space="preserve"/>
      </w:r>
    </w:p>
    <w:p>
      <w:pPr>
        <w:spacing w:after="120" w:before="240" w:line="240" w:lineRule="exact"/>
      </w:pPr>
      <w:r>
        <w:rPr>
          <w:rFonts w:ascii="Times New Roman" w:cs="Times New Roman" w:eastAsia="Times New Roman" w:hAnsi="Times New Roman"/>
          <w:b/>
          <w:bCs/>
          <w:sz w:val="24"/>
          <w:szCs w:val="24"/>
        </w:rPr>
        <w:t xml:space="preserve">References</w:t>
      </w:r>
    </w:p>
    <w:p>
      <w:pPr>
        <w:spacing w:after="60" w:before="60" w:line="240"/>
        <w:ind w:left="720" w:hanging="720"/>
      </w:pPr>
      <w:r>
        <w:rPr>
          <w:rFonts w:ascii="Times New Roman" w:cs="Times New Roman" w:eastAsia="Times New Roman" w:hAnsi="Times New Roman"/>
          <w:sz w:val="24"/>
          <w:szCs w:val="24"/>
        </w:rPr>
        <w:t xml:space="preserve">Akerlof, G. A. (1970). The market for lemons: Quality uncertainty and the market mechanism. Quarterly Journal of Economics, 84(3), 488–500.</w:t>
      </w:r>
    </w:p>
    <w:p>
      <w:pPr>
        <w:spacing w:after="60" w:before="60" w:line="240"/>
        <w:ind w:left="720" w:hanging="720"/>
      </w:pPr>
      <w:r>
        <w:rPr>
          <w:rFonts w:ascii="Times New Roman" w:cs="Times New Roman" w:eastAsia="Times New Roman" w:hAnsi="Times New Roman"/>
          <w:sz w:val="24"/>
          <w:szCs w:val="24"/>
        </w:rPr>
        <w:t xml:space="preserve">Asian Banking &amp; Finance. (2024). How India’s 53% credit-to-GDP ratio exposes the lending gap. Asian Banking &amp; Finance.</w:t>
      </w:r>
    </w:p>
    <w:p>
      <w:pPr>
        <w:spacing w:after="60" w:before="60" w:line="240"/>
        <w:ind w:left="720" w:hanging="720"/>
      </w:pPr>
      <w:r>
        <w:rPr>
          <w:rFonts w:ascii="Times New Roman" w:cs="Times New Roman" w:eastAsia="Times New Roman" w:hAnsi="Times New Roman"/>
          <w:sz w:val="24"/>
          <w:szCs w:val="24"/>
        </w:rPr>
        <w:t xml:space="preserve">AU Small Finance Bank. (2024). RBI guidelines for digital lending: Shaping a new era. AU Bank Knowledge Centre.</w:t>
      </w:r>
    </w:p>
    <w:p>
      <w:pPr>
        <w:spacing w:after="60" w:before="60" w:line="240"/>
        <w:ind w:left="720" w:hanging="720"/>
      </w:pPr>
      <w:r>
        <w:rPr>
          <w:rFonts w:ascii="Times New Roman" w:cs="Times New Roman" w:eastAsia="Times New Roman" w:hAnsi="Times New Roman"/>
          <w:sz w:val="24"/>
          <w:szCs w:val="24"/>
        </w:rPr>
        <w:t xml:space="preserve">CASParser Team. (2026). State of account aggregator in 2026: What founders actually need to know. CASParser Research.</w:t>
      </w:r>
    </w:p>
    <w:p>
      <w:pPr>
        <w:spacing w:after="60" w:before="60" w:line="240"/>
        <w:ind w:left="720" w:hanging="720"/>
      </w:pPr>
      <w:r>
        <w:rPr>
          <w:rFonts w:ascii="Times New Roman" w:cs="Times New Roman" w:eastAsia="Times New Roman" w:hAnsi="Times New Roman"/>
          <w:sz w:val="24"/>
          <w:szCs w:val="24"/>
        </w:rPr>
        <w:t xml:space="preserve">Centre for Advanced Study of India (CASI), University of Pennsylvania. (2024). Credit invisibility and rural GDP: Evidence from India’s digital lending expansion. CASI Working Papers.</w:t>
      </w:r>
    </w:p>
    <w:p>
      <w:pPr>
        <w:spacing w:after="60" w:before="60" w:line="240"/>
        <w:ind w:left="720" w:hanging="720"/>
      </w:pPr>
      <w:r>
        <w:rPr>
          <w:rFonts w:ascii="Times New Roman" w:cs="Times New Roman" w:eastAsia="Times New Roman" w:hAnsi="Times New Roman"/>
          <w:sz w:val="24"/>
          <w:szCs w:val="24"/>
        </w:rPr>
        <w:t xml:space="preserve">DZone / Alan Turing Institute. (2025). Explainable AI part 7: SHAP — Financial decision-making. DZone Financial Tech.</w:t>
      </w:r>
    </w:p>
    <w:p>
      <w:pPr>
        <w:spacing w:after="60" w:before="60" w:line="240"/>
        <w:ind w:left="720" w:hanging="720"/>
      </w:pPr>
      <w:r>
        <w:rPr>
          <w:rFonts w:ascii="Times New Roman" w:cs="Times New Roman" w:eastAsia="Times New Roman" w:hAnsi="Times New Roman"/>
          <w:sz w:val="24"/>
          <w:szCs w:val="24"/>
        </w:rPr>
        <w:t xml:space="preserve">Godrej Capital. (2026). AI-based credit scoring in 2026: What MSMEs need to know. Godrej Capital Knowledge Centre.</w:t>
      </w:r>
    </w:p>
    <w:p>
      <w:pPr>
        <w:spacing w:after="60" w:before="60" w:line="240"/>
        <w:ind w:left="720" w:hanging="720"/>
      </w:pPr>
      <w:r>
        <w:rPr>
          <w:rFonts w:ascii="Times New Roman" w:cs="Times New Roman" w:eastAsia="Times New Roman" w:hAnsi="Times New Roman"/>
          <w:sz w:val="24"/>
          <w:szCs w:val="24"/>
        </w:rPr>
        <w:t xml:space="preserve">Journal of Financial Intermediation. (2025). Adverse selection and moral hazard in emerging credit markets. Journal of Financial Intermediation, 68, 101–124.</w:t>
      </w:r>
    </w:p>
    <w:p>
      <w:pPr>
        <w:spacing w:after="60" w:before="60" w:line="240"/>
        <w:ind w:left="720" w:hanging="720"/>
      </w:pPr>
      <w:r>
        <w:rPr>
          <w:rFonts w:ascii="Times New Roman" w:cs="Times New Roman" w:eastAsia="Times New Roman" w:hAnsi="Times New Roman"/>
          <w:sz w:val="24"/>
          <w:szCs w:val="24"/>
        </w:rPr>
        <w:t xml:space="preserve">MDPI. (2026). Asymmetric information and credit rationing in a model of search. Games, 16(1), Article 1. https://doi.org/10.3390/g16010001</w:t>
      </w:r>
    </w:p>
    <w:p>
      <w:pPr>
        <w:spacing w:after="60" w:before="60" w:line="240"/>
        <w:ind w:left="720" w:hanging="720"/>
      </w:pPr>
      <w:r>
        <w:rPr>
          <w:rFonts w:ascii="Times New Roman" w:cs="Times New Roman" w:eastAsia="Times New Roman" w:hAnsi="Times New Roman"/>
          <w:sz w:val="24"/>
          <w:szCs w:val="24"/>
        </w:rPr>
        <w:t xml:space="preserve">National Payments Corporation of India (NPCI) / PIB Delhi. (2026). UPI completes 10 glorious years, emerges as world’s largest real-time payments platform. Press Information Bureau.</w:t>
      </w:r>
    </w:p>
    <w:p>
      <w:pPr>
        <w:spacing w:after="60" w:before="60" w:line="240"/>
        <w:ind w:left="720" w:hanging="720"/>
      </w:pPr>
      <w:r>
        <w:rPr>
          <w:rFonts w:ascii="Times New Roman" w:cs="Times New Roman" w:eastAsia="Times New Roman" w:hAnsi="Times New Roman"/>
          <w:sz w:val="24"/>
          <w:szCs w:val="24"/>
        </w:rPr>
        <w:t xml:space="preserve">Reserve Bank of India. (2024). Master directions on digital lending. RBI Circular DNBR.PD.007/03.10.119/2024-25. Reserve Bank of India.</w:t>
      </w:r>
    </w:p>
    <w:p>
      <w:pPr>
        <w:spacing w:after="60" w:before="60" w:line="240"/>
        <w:ind w:left="720" w:hanging="720"/>
      </w:pPr>
      <w:r>
        <w:rPr>
          <w:rFonts w:ascii="Times New Roman" w:cs="Times New Roman" w:eastAsia="Times New Roman" w:hAnsi="Times New Roman"/>
          <w:sz w:val="24"/>
          <w:szCs w:val="24"/>
        </w:rPr>
        <w:t xml:space="preserve">ResearchGate / Journal of Home Economics Technology and Innovation. (2026). Bias, fairness, and explainability in AI-driven credit scoring: A critical review. Journal of Home Economics Technology and Innovation, 2(01), 45–78.</w:t>
      </w:r>
    </w:p>
    <w:p>
      <w:pPr>
        <w:spacing w:after="60" w:before="60" w:line="240"/>
        <w:ind w:left="720" w:hanging="720"/>
      </w:pPr>
      <w:r>
        <w:rPr>
          <w:rFonts w:ascii="Times New Roman" w:cs="Times New Roman" w:eastAsia="Times New Roman" w:hAnsi="Times New Roman"/>
          <w:sz w:val="24"/>
          <w:szCs w:val="24"/>
        </w:rPr>
        <w:t xml:space="preserve">Stiglitz, J. E., &amp; Weiss, A. (1981). Credit rationing in markets with imperfect information. American Economic Review, 71(3), 393–410.</w:t>
      </w:r>
    </w:p>
    <w:p>
      <w:pPr>
        <w:spacing w:after="60" w:before="60" w:line="240"/>
        <w:ind w:left="720" w:hanging="720"/>
      </w:pPr>
      <w:r>
        <w:rPr>
          <w:rFonts w:ascii="Times New Roman" w:cs="Times New Roman" w:eastAsia="Times New Roman" w:hAnsi="Times New Roman"/>
          <w:sz w:val="24"/>
          <w:szCs w:val="24"/>
        </w:rPr>
        <w:t xml:space="preserve">Valdrighi, A., et al. (2025). Responsible ML in credit scoring: Bias mitigation and SMOTE. Journal of Home Economics Technology and Innovation, 1(04), 12–34.</w:t>
      </w:r>
    </w:p>
    <w:p>
      <w:pPr>
        <w:spacing w:after="60" w:before="60" w:line="240"/>
        <w:ind w:left="720" w:hanging="720"/>
      </w:pPr>
      <w:r>
        <w:rPr>
          <w:rFonts w:ascii="Times New Roman" w:cs="Times New Roman" w:eastAsia="Times New Roman" w:hAnsi="Times New Roman"/>
          <w:sz w:val="24"/>
          <w:szCs w:val="24"/>
        </w:rPr>
        <w:t xml:space="preserve">World Bank Economic Review. (2024). Econometric vs. ML models: A comparison in developing economies. World Bank Economic Review, 38(2), 220–248.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24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2026-05-05T06:25:17.528Z</dcterms:created>
  <dcterms:modified xsi:type="dcterms:W3CDTF">2026-05-05T06:25:17.529Z</dcterms:modified>
</cp:coreProperties>
</file>

<file path=docProps/custom.xml><?xml version="1.0" encoding="utf-8"?>
<Properties xmlns="http://schemas.openxmlformats.org/officeDocument/2006/custom-properties" xmlns:vt="http://schemas.openxmlformats.org/officeDocument/2006/docPropsVTypes"/>
</file>