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D834" w14:textId="77777777" w:rsidR="00342D8D" w:rsidRPr="00180562" w:rsidRDefault="00000000">
      <w:pPr>
        <w:spacing w:before="400" w:after="120"/>
        <w:jc w:val="center"/>
        <w:rPr>
          <w:rFonts w:ascii="Times New Roman" w:hAnsi="Times New Roman" w:cs="Times New Roman"/>
          <w:sz w:val="32"/>
          <w:szCs w:val="32"/>
        </w:rPr>
      </w:pPr>
      <w:r w:rsidRPr="00180562">
        <w:rPr>
          <w:rFonts w:ascii="Times New Roman" w:hAnsi="Times New Roman" w:cs="Times New Roman"/>
          <w:b/>
          <w:bCs/>
          <w:color w:val="1F3864"/>
          <w:sz w:val="32"/>
          <w:szCs w:val="32"/>
        </w:rPr>
        <w:t>Credit Invisibility and AI:</w:t>
      </w:r>
    </w:p>
    <w:p w14:paraId="35D82892" w14:textId="77777777" w:rsidR="00342D8D" w:rsidRPr="00180562" w:rsidRDefault="00000000">
      <w:pPr>
        <w:spacing w:after="160"/>
        <w:jc w:val="center"/>
        <w:rPr>
          <w:rFonts w:ascii="Times New Roman" w:hAnsi="Times New Roman" w:cs="Times New Roman"/>
          <w:sz w:val="32"/>
          <w:szCs w:val="32"/>
        </w:rPr>
      </w:pPr>
      <w:r w:rsidRPr="00180562">
        <w:rPr>
          <w:rFonts w:ascii="Times New Roman" w:hAnsi="Times New Roman" w:cs="Times New Roman"/>
          <w:b/>
          <w:bCs/>
          <w:color w:val="2E4A7A"/>
          <w:sz w:val="32"/>
          <w:szCs w:val="32"/>
        </w:rPr>
        <w:t>Predicting Loan Default Risk Using Alternative Data in India's Digital Lending Ecosystem</w:t>
      </w:r>
    </w:p>
    <w:p w14:paraId="40992F2C" w14:textId="77777777" w:rsidR="00342D8D" w:rsidRPr="00180562" w:rsidRDefault="00000000">
      <w:pPr>
        <w:spacing w:after="60"/>
        <w:jc w:val="center"/>
        <w:rPr>
          <w:rFonts w:ascii="Times New Roman" w:hAnsi="Times New Roman" w:cs="Times New Roman"/>
          <w:sz w:val="24"/>
          <w:szCs w:val="24"/>
        </w:rPr>
      </w:pPr>
      <w:r w:rsidRPr="00180562">
        <w:rPr>
          <w:rFonts w:ascii="Times New Roman" w:hAnsi="Times New Roman" w:cs="Times New Roman"/>
          <w:b/>
          <w:bCs/>
          <w:sz w:val="24"/>
          <w:szCs w:val="24"/>
        </w:rPr>
        <w:t>Arpita Rathwa</w:t>
      </w:r>
    </w:p>
    <w:p w14:paraId="4FB3856C" w14:textId="77777777" w:rsidR="00342D8D" w:rsidRPr="00180562" w:rsidRDefault="00000000">
      <w:pPr>
        <w:spacing w:after="60"/>
        <w:jc w:val="center"/>
        <w:rPr>
          <w:rFonts w:ascii="Times New Roman" w:hAnsi="Times New Roman" w:cs="Times New Roman"/>
          <w:sz w:val="24"/>
          <w:szCs w:val="24"/>
        </w:rPr>
      </w:pPr>
      <w:r w:rsidRPr="00180562">
        <w:rPr>
          <w:rFonts w:ascii="Times New Roman" w:hAnsi="Times New Roman" w:cs="Times New Roman"/>
          <w:color w:val="444444"/>
          <w:sz w:val="24"/>
          <w:szCs w:val="24"/>
        </w:rPr>
        <w:t>B.Tech Electrical &amp; Electronics Engineering</w:t>
      </w:r>
    </w:p>
    <w:p w14:paraId="3512634A" w14:textId="77777777" w:rsidR="00342D8D" w:rsidRPr="00180562" w:rsidRDefault="00000000">
      <w:pPr>
        <w:spacing w:after="60"/>
        <w:jc w:val="center"/>
        <w:rPr>
          <w:rFonts w:ascii="Times New Roman" w:hAnsi="Times New Roman" w:cs="Times New Roman"/>
          <w:sz w:val="24"/>
          <w:szCs w:val="24"/>
        </w:rPr>
      </w:pPr>
      <w:r w:rsidRPr="00180562">
        <w:rPr>
          <w:rFonts w:ascii="Times New Roman" w:hAnsi="Times New Roman" w:cs="Times New Roman"/>
          <w:color w:val="444444"/>
          <w:sz w:val="24"/>
          <w:szCs w:val="24"/>
        </w:rPr>
        <w:t>National Institute of Technology Calicut, Kerala, India</w:t>
      </w:r>
    </w:p>
    <w:p w14:paraId="1D77ECAB" w14:textId="77777777" w:rsidR="00342D8D" w:rsidRPr="00180562" w:rsidRDefault="00000000">
      <w:pPr>
        <w:spacing w:after="60"/>
        <w:jc w:val="center"/>
        <w:rPr>
          <w:rFonts w:ascii="Times New Roman" w:hAnsi="Times New Roman" w:cs="Times New Roman"/>
          <w:sz w:val="24"/>
          <w:szCs w:val="24"/>
        </w:rPr>
      </w:pPr>
      <w:r w:rsidRPr="00180562">
        <w:rPr>
          <w:rFonts w:ascii="Times New Roman" w:hAnsi="Times New Roman" w:cs="Times New Roman"/>
          <w:color w:val="444444"/>
          <w:sz w:val="24"/>
          <w:szCs w:val="24"/>
        </w:rPr>
        <w:t>arpita.n.rathwa@gmail.com  |  May 2026</w:t>
      </w:r>
    </w:p>
    <w:p w14:paraId="1CBF2D59" w14:textId="77777777" w:rsidR="00342D8D" w:rsidRPr="00180562" w:rsidRDefault="00000000">
      <w:pPr>
        <w:spacing w:after="240"/>
        <w:jc w:val="center"/>
        <w:rPr>
          <w:rFonts w:ascii="Times New Roman" w:hAnsi="Times New Roman" w:cs="Times New Roman"/>
          <w:sz w:val="24"/>
          <w:szCs w:val="24"/>
        </w:rPr>
      </w:pPr>
      <w:r w:rsidRPr="00180562">
        <w:rPr>
          <w:rFonts w:ascii="Times New Roman" w:hAnsi="Times New Roman" w:cs="Times New Roman"/>
          <w:i/>
          <w:iCs/>
          <w:color w:val="666666"/>
          <w:sz w:val="24"/>
          <w:szCs w:val="24"/>
        </w:rPr>
        <w:t>Submitted to: Youth Economy Lab – Student Scholars Research Competition (YEL–Synthica)</w:t>
      </w:r>
    </w:p>
    <w:p w14:paraId="6D3B5EE9" w14:textId="77777777" w:rsidR="00342D8D" w:rsidRPr="00180562" w:rsidRDefault="00342D8D">
      <w:pPr>
        <w:pBdr>
          <w:bottom w:val="single" w:sz="4" w:space="1" w:color="CCCCCC"/>
        </w:pBdr>
        <w:spacing w:before="200" w:after="200"/>
        <w:rPr>
          <w:rFonts w:ascii="Times New Roman" w:hAnsi="Times New Roman" w:cs="Times New Roman"/>
          <w:sz w:val="24"/>
          <w:szCs w:val="24"/>
        </w:rPr>
      </w:pPr>
    </w:p>
    <w:p w14:paraId="19B4F799"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Abstract</w:t>
      </w:r>
    </w:p>
    <w:p w14:paraId="4E8B723C"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India presents a structural paradox: the world's largest real-time payments ecosystem coexists with one of its most severe credit gaps. Approximately 190 million adults remain unbanked, excluded not by risk but by invisibility — the absence of prior credit history required by bureau-based underwriting systems. This proposal investigates whether an ensemble machine learning pipeline integrating Random Forest and XGBoost, trained on India Stack alternative data (UPI transaction patterns, GST compliance records, and utility payment histories), can reliably outperform CIBIL-based logistic regression in predicting loan default risk for credit-invisible populations. The pipeline incorporates SMOTE-based class imbalance correction, SHAP-based explainability, and a structured fairness audit across gender and rural/urban strata. A critical methodological constraint acknowledged upfront is the use of synthetic alternative-data proxies in Phase 1, due to the absence of live Account Aggregator-aggregated datasets; a phased transition to live AA data is built into the research design. The proposal aims to deliver an empirically validated, regulatorily compliant, and replicable ML underwriting framework relevant to India and comparable digital payment ecosystems globally.</w:t>
      </w:r>
    </w:p>
    <w:p w14:paraId="56AA56D7" w14:textId="77777777" w:rsidR="00342D8D" w:rsidRPr="00180562" w:rsidRDefault="00342D8D">
      <w:pPr>
        <w:spacing w:before="120"/>
        <w:rPr>
          <w:rFonts w:ascii="Times New Roman" w:hAnsi="Times New Roman" w:cs="Times New Roman"/>
          <w:sz w:val="24"/>
          <w:szCs w:val="24"/>
        </w:rPr>
      </w:pPr>
    </w:p>
    <w:p w14:paraId="5FD25749"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1. Introduction</w:t>
      </w:r>
    </w:p>
    <w:p w14:paraId="236B7BEA"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India presents a striking paradox: the world's largest real-time payments ecosystem coexisting with one of its most severe credit gaps. In FY 2025–26, the Unified Payments Interface (UPI) processed 24,162 crore transactions, generating an extraordinary trail of behavioral financial data (PIB, 2026). Yet approximately 190 million Indian adults remain unbanked, and the country faces an estimated credit gap of $600 billion — disproportionately borne by micro, small, and medium enterprises (MSMEs) and rural households (Asian Banking &amp; Finance, 2024).</w:t>
      </w:r>
    </w:p>
    <w:p w14:paraId="6D7D852A" w14:textId="77777777" w:rsidR="00342D8D" w:rsidRPr="00180562" w:rsidRDefault="00342D8D">
      <w:pPr>
        <w:spacing w:before="60"/>
        <w:rPr>
          <w:rFonts w:ascii="Times New Roman" w:hAnsi="Times New Roman" w:cs="Times New Roman"/>
          <w:sz w:val="24"/>
          <w:szCs w:val="24"/>
        </w:rPr>
      </w:pPr>
    </w:p>
    <w:p w14:paraId="036A8F34"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 xml:space="preserve">The root cause is credit invisibility. India's formal credit infrastructure relies overwhelmingly on CIBIL scores, a bureau-based metric that requires prior borrowing history. For first-time borrowers </w:t>
      </w:r>
      <w:r w:rsidRPr="00180562">
        <w:rPr>
          <w:rFonts w:ascii="Times New Roman" w:hAnsi="Times New Roman" w:cs="Times New Roman"/>
          <w:sz w:val="24"/>
          <w:szCs w:val="24"/>
        </w:rPr>
        <w:lastRenderedPageBreak/>
        <w:t>— daily-wage earners, self-employed traders, gig workers, and smallholder farmers — no such history exists. They are not high-risk; they are simply invisible to conventional underwriting systems, resulting in systematic credit rationing that excludes precisely those most in need of affordable capital.</w:t>
      </w:r>
    </w:p>
    <w:p w14:paraId="2A046395" w14:textId="77777777" w:rsidR="00342D8D" w:rsidRPr="00180562" w:rsidRDefault="00342D8D">
      <w:pPr>
        <w:spacing w:before="60"/>
        <w:rPr>
          <w:rFonts w:ascii="Times New Roman" w:hAnsi="Times New Roman" w:cs="Times New Roman"/>
          <w:sz w:val="24"/>
          <w:szCs w:val="24"/>
        </w:rPr>
      </w:pPr>
    </w:p>
    <w:p w14:paraId="056D0C9F"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This invisibility is not inevitable. India Stack — comprising Jan Dhan accounts, Aadhaar-linked identity, UPI rails, and the Account Aggregator (AA) consent framework — has produced a rich parallel universe of behavioral financial data. GST filing records, UPI transaction frequency, merchant-category patterns, and utility payment histories together constitute a high-fidelity proxy for creditworthiness. Machine learning models trained on such alternative data have demonstrated substantially superior predictive power over traditional logistic regression for populations with irregular income streams (World Bank Economic Review, 2024).</w:t>
      </w:r>
    </w:p>
    <w:p w14:paraId="4389D9CC" w14:textId="77777777" w:rsidR="00342D8D" w:rsidRPr="00180562" w:rsidRDefault="00342D8D">
      <w:pPr>
        <w:spacing w:before="60"/>
        <w:rPr>
          <w:rFonts w:ascii="Times New Roman" w:hAnsi="Times New Roman" w:cs="Times New Roman"/>
          <w:sz w:val="24"/>
          <w:szCs w:val="24"/>
        </w:rPr>
      </w:pPr>
    </w:p>
    <w:p w14:paraId="1A753D21"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This proposal investigates whether an ensemble ML pipeline — integrating Random Forest and XGBoost with SHAP-based explainability and SMOTE-corrected class imbalance handling — can reliably predict loan default risk for credit-invisible populations using India Stack alternative data, while satisfying RBI's transparency and fairness mandates for digital lending. A central methodological constraint — and an honest one — is that Phase 1 relies on synthetic proxies rather than live AA-aggregated data. Section 5 addresses this constraint directly, with a phased data strategy designed to progressively replace synthetic features with live consent-based flows.</w:t>
      </w:r>
    </w:p>
    <w:p w14:paraId="1EB6E28C" w14:textId="77777777" w:rsidR="00342D8D" w:rsidRPr="00180562" w:rsidRDefault="00342D8D">
      <w:pPr>
        <w:spacing w:before="120"/>
        <w:rPr>
          <w:rFonts w:ascii="Times New Roman" w:hAnsi="Times New Roman" w:cs="Times New Roman"/>
          <w:sz w:val="24"/>
          <w:szCs w:val="24"/>
        </w:rPr>
      </w:pPr>
    </w:p>
    <w:p w14:paraId="691DDA3E"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2. Research Question</w:t>
      </w:r>
    </w:p>
    <w:p w14:paraId="394A5E02"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Can ensemble machine learning models trained on alternative behavioral data — specifically UPI transaction patterns, GST compliance records, and utility payment histories aggregated through India's Account Aggregator framework — outperform CIBIL-based logistic regression in predicting loan default risk for credit-invisible populations?</w:t>
      </w:r>
    </w:p>
    <w:p w14:paraId="75053243" w14:textId="77777777" w:rsidR="00342D8D" w:rsidRPr="00180562" w:rsidRDefault="00342D8D">
      <w:pPr>
        <w:spacing w:before="60"/>
        <w:rPr>
          <w:rFonts w:ascii="Times New Roman" w:hAnsi="Times New Roman" w:cs="Times New Roman"/>
          <w:sz w:val="24"/>
          <w:szCs w:val="24"/>
        </w:rPr>
      </w:pPr>
    </w:p>
    <w:p w14:paraId="636635BD"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Three subsidiary questions structure this inquiry:</w:t>
      </w:r>
    </w:p>
    <w:p w14:paraId="6328882C"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Do UPI-derived behavioral signals contain statistically significant creditworthiness information beyond what bureau scores capture, as measured by ROC-AUC improvement on a held-out test set?</w:t>
      </w:r>
    </w:p>
    <w:p w14:paraId="24FCEB22"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Can SHAP-based explainability mechanisms satisfy RBI's 2024 digital lending transparency mandates — specifically the requirement for intelligible, contestable credit decisions accessible to first-time borrowers?</w:t>
      </w:r>
    </w:p>
    <w:p w14:paraId="15D54774"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Does the proposed model introduce or amplify disparate impact across gender and rural/urban strata, and can post-processing calibration adequately mitigate identified biases?</w:t>
      </w:r>
    </w:p>
    <w:p w14:paraId="3222E749" w14:textId="77777777" w:rsidR="00342D8D" w:rsidRPr="00180562" w:rsidRDefault="00342D8D">
      <w:pPr>
        <w:spacing w:before="120"/>
        <w:rPr>
          <w:rFonts w:ascii="Times New Roman" w:hAnsi="Times New Roman" w:cs="Times New Roman"/>
          <w:sz w:val="24"/>
          <w:szCs w:val="24"/>
        </w:rPr>
      </w:pPr>
    </w:p>
    <w:p w14:paraId="000FB391"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3. Theoretical Framework</w:t>
      </w:r>
    </w:p>
    <w:p w14:paraId="75685F32"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lastRenderedPageBreak/>
        <w:t>The theoretical foundation rests on three interlocking pillars from information economics and credit market theory.</w:t>
      </w:r>
    </w:p>
    <w:p w14:paraId="4018F0BC" w14:textId="77777777" w:rsidR="00342D8D" w:rsidRPr="00180562" w:rsidRDefault="00342D8D">
      <w:pPr>
        <w:spacing w:before="60"/>
        <w:rPr>
          <w:rFonts w:ascii="Times New Roman" w:hAnsi="Times New Roman" w:cs="Times New Roman"/>
          <w:sz w:val="24"/>
          <w:szCs w:val="24"/>
        </w:rPr>
      </w:pPr>
    </w:p>
    <w:p w14:paraId="17D82F3F"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3.1 Stiglitz-Weiss Credit Rationing</w:t>
      </w:r>
    </w:p>
    <w:p w14:paraId="5B993A49"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The Stiglitz-Weiss (1981) model demonstrates that under asymmetric information, lenders cannot use interest rates alone to screen borrowers without inducing adverse selection. The equilibrium result is credit rationing: deserving borrowers are excluded not because they cannot pay, but because lenders cannot distinguish them from high-risk counterparts. A 2026 extension using competitive search models (MDPI, 2026) confirms that limited lender entry perpetuates endogenous rationing, systematically excluding information-poor borrowers. Alternative data directly targets this information gap.</w:t>
      </w:r>
    </w:p>
    <w:p w14:paraId="205DD76A" w14:textId="77777777" w:rsidR="00342D8D" w:rsidRPr="00180562" w:rsidRDefault="00342D8D">
      <w:pPr>
        <w:spacing w:before="60"/>
        <w:rPr>
          <w:rFonts w:ascii="Times New Roman" w:hAnsi="Times New Roman" w:cs="Times New Roman"/>
          <w:sz w:val="24"/>
          <w:szCs w:val="24"/>
        </w:rPr>
      </w:pPr>
    </w:p>
    <w:p w14:paraId="4B1DCFA1"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3.2 Akerlof's Market for Lemons and Information Asymmetry</w:t>
      </w:r>
    </w:p>
    <w:p w14:paraId="51B33053"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Akerlof's (1970) market for lemons provides the microeconomic logic for why alternative data is transformative. Informal-sector borrowers possess private knowledge of their repayment capacity that traditional credit bureaus cannot observe. UPI transaction data, utility payment regularity, and merchant-category spending are observable signals that partially resolve this information asymmetry — enabling informed underwriting without requiring formal credit history. The key insight is that these behavioral signals are not mere proxies: they are direct evidence of cash-flow management and financial discipline.</w:t>
      </w:r>
    </w:p>
    <w:p w14:paraId="6251BC03" w14:textId="77777777" w:rsidR="00342D8D" w:rsidRPr="00180562" w:rsidRDefault="00342D8D">
      <w:pPr>
        <w:spacing w:before="60"/>
        <w:rPr>
          <w:rFonts w:ascii="Times New Roman" w:hAnsi="Times New Roman" w:cs="Times New Roman"/>
          <w:sz w:val="24"/>
          <w:szCs w:val="24"/>
        </w:rPr>
      </w:pPr>
    </w:p>
    <w:p w14:paraId="74A6B373"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3.3 Moral Hazard and Digital Monitoring</w:t>
      </w:r>
    </w:p>
    <w:p w14:paraId="3A3F465A"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A digital adaptation of moral hazard theory provides a secondary rationale. The Journal of Financial Intermediation (2025) demonstrates that while real-time digital monitoring substantially reduces post-disbursement moral hazard, adverse selection persists for populations without established digital histories. This creates a bootstrapping problem: the unbanked cannot generate the digital footprint that would make them creditworthy. Constructing alternative digital features from UPI and utility data is therefore not merely a predictive exercise — it is a mechanism for breaking this cycle of informational exclusion.</w:t>
      </w:r>
    </w:p>
    <w:p w14:paraId="287AC30A" w14:textId="77777777" w:rsidR="00342D8D" w:rsidRPr="00180562" w:rsidRDefault="00342D8D">
      <w:pPr>
        <w:spacing w:before="120"/>
        <w:rPr>
          <w:rFonts w:ascii="Times New Roman" w:hAnsi="Times New Roman" w:cs="Times New Roman"/>
          <w:sz w:val="24"/>
          <w:szCs w:val="24"/>
        </w:rPr>
      </w:pPr>
    </w:p>
    <w:p w14:paraId="08991008"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4. Literature Context</w:t>
      </w:r>
    </w:p>
    <w:p w14:paraId="7308BBA0"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Recent literature converges on four themes central to this proposal.</w:t>
      </w:r>
    </w:p>
    <w:p w14:paraId="3112D639" w14:textId="77777777" w:rsidR="00342D8D" w:rsidRPr="00180562" w:rsidRDefault="00342D8D">
      <w:pPr>
        <w:spacing w:before="60"/>
        <w:rPr>
          <w:rFonts w:ascii="Times New Roman" w:hAnsi="Times New Roman" w:cs="Times New Roman"/>
          <w:sz w:val="24"/>
          <w:szCs w:val="24"/>
        </w:rPr>
      </w:pPr>
    </w:p>
    <w:p w14:paraId="3AB10E2B"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4.1 Transition from Bureau Scores to Alternative Data</w:t>
      </w:r>
    </w:p>
    <w:p w14:paraId="357949B5"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lastRenderedPageBreak/>
        <w:t>Godrej Capital (2026) documents an operational shift among Indian fintech lenders from bureau scores to ML models ingesting GST returns, UPI P2M transaction patterns, and digital footprints, with materially fairer credit assessments for MSMEs with limited formal credit history. RBI's 2024 mandate that all digital loans be reported to credit bureaus reflects a parallel policy recognition: that cumulative credit history must be actively constructed for populations currently excluded from the formal credit system.</w:t>
      </w:r>
    </w:p>
    <w:p w14:paraId="090D868A" w14:textId="77777777" w:rsidR="00342D8D" w:rsidRPr="00180562" w:rsidRDefault="00342D8D">
      <w:pPr>
        <w:spacing w:before="60"/>
        <w:rPr>
          <w:rFonts w:ascii="Times New Roman" w:hAnsi="Times New Roman" w:cs="Times New Roman"/>
          <w:sz w:val="24"/>
          <w:szCs w:val="24"/>
        </w:rPr>
      </w:pPr>
    </w:p>
    <w:p w14:paraId="66EF112E"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4.2 UPI Data as a Creditworthiness Signal</w:t>
      </w:r>
    </w:p>
    <w:p w14:paraId="7C7302A0"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NPCI and PIB Delhi data (2026) provide empirical grounding for using UPI transaction patterns as income-flow proxies. High-frequency person-to-merchant (P2M) transactions correlate with cash-flow regularity, while transaction consistency and merchant diversity signal livelihood stability. These are features traditional bureaus structurally cannot capture. The critical caveat — under-explored in existing literature — is that UPI density is geographically uneven: urban and semi-urban populations transact at significantly higher frequencies than rural counterparts, creating a risk of proxy discrimination explored in Section 5.5.</w:t>
      </w:r>
    </w:p>
    <w:p w14:paraId="6338AA0F" w14:textId="77777777" w:rsidR="00342D8D" w:rsidRPr="00180562" w:rsidRDefault="00342D8D">
      <w:pPr>
        <w:spacing w:before="60"/>
        <w:rPr>
          <w:rFonts w:ascii="Times New Roman" w:hAnsi="Times New Roman" w:cs="Times New Roman"/>
          <w:sz w:val="24"/>
          <w:szCs w:val="24"/>
        </w:rPr>
      </w:pPr>
    </w:p>
    <w:p w14:paraId="0FE0FE0F"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4.3 ML Superiority in Developing Economy Credit Contexts</w:t>
      </w:r>
    </w:p>
    <w:p w14:paraId="457F3B8C"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The World Bank Economic Review (2024) comparative study finds XGBoost significantly outperforms logistic regression for rural lending populations with irregular income streams, particularly in predicting the 90-day NPA threshold. This advantage is attributed to XGBoost's capacity to capture non-linear interactions between transaction volatility, seasonal income patterns, and repayment timing — relationships that violate the linearity assumptions of logistic regression. Critically, however, the World Bank study used live transaction data from partner microfinance institutions. This proposal's reliance on synthetic proxies in Phase 1 means the reported AUC gains are anticipated, not replicated, and the comparison is correspondingly hedged in Section 6.</w:t>
      </w:r>
    </w:p>
    <w:p w14:paraId="3D1C493E" w14:textId="77777777" w:rsidR="00342D8D" w:rsidRPr="00180562" w:rsidRDefault="00342D8D">
      <w:pPr>
        <w:spacing w:before="60"/>
        <w:rPr>
          <w:rFonts w:ascii="Times New Roman" w:hAnsi="Times New Roman" w:cs="Times New Roman"/>
          <w:sz w:val="24"/>
          <w:szCs w:val="24"/>
        </w:rPr>
      </w:pPr>
    </w:p>
    <w:p w14:paraId="0132B222"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4.4 Account Aggregator Framework and Consent-Based Data Infrastructure</w:t>
      </w:r>
    </w:p>
    <w:p w14:paraId="10E87754"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CASParser Research (2026) evaluates India's AA ecosystem, which now connects 135+ Financial Information Providers. Consent-based data sharing through AA is identified as the only scalable mechanism to bridge the credit gap. The same analysis identifies three structural barriers to adoption: low consumer awareness of consent architecture, fintech integration costs for smaller lenders, and data standardization gaps across Financial Information Providers. This proposal's phased AA integration strategy in Section 5.1 directly addresses these barriers.</w:t>
      </w:r>
    </w:p>
    <w:p w14:paraId="4136951A" w14:textId="77777777" w:rsidR="00342D8D" w:rsidRPr="00180562" w:rsidRDefault="00342D8D">
      <w:pPr>
        <w:spacing w:before="120"/>
        <w:rPr>
          <w:rFonts w:ascii="Times New Roman" w:hAnsi="Times New Roman" w:cs="Times New Roman"/>
          <w:sz w:val="24"/>
          <w:szCs w:val="24"/>
        </w:rPr>
      </w:pPr>
    </w:p>
    <w:p w14:paraId="6602E5A4"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5. Proposed Methodology</w:t>
      </w:r>
    </w:p>
    <w:p w14:paraId="1830A8FC"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lastRenderedPageBreak/>
        <w:t>The study adopts a quantitative, comparative modelling approach structured across five phases. A critical transparency note: Phase 1 relies on a combination of public financial inclusion data and synthetic alternative-data proxies, due to the current inaccessibility of live AA-aggregated individual transaction records for academic research. The implications of this constraint for result generalizability are addressed explicitly in Section 5.1 and Section 8.</w:t>
      </w:r>
    </w:p>
    <w:p w14:paraId="1DCF8E4F" w14:textId="77777777" w:rsidR="00342D8D" w:rsidRPr="00180562" w:rsidRDefault="00342D8D">
      <w:pPr>
        <w:spacing w:before="60"/>
        <w:rPr>
          <w:rFonts w:ascii="Times New Roman" w:hAnsi="Times New Roman" w:cs="Times New Roman"/>
          <w:sz w:val="24"/>
          <w:szCs w:val="24"/>
        </w:rPr>
      </w:pPr>
    </w:p>
    <w:p w14:paraId="3E934078"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5.1 Data Acquisition and Phased Data Strategy</w:t>
      </w:r>
    </w:p>
    <w:p w14:paraId="321D1848"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The dataset will comprise approximately 50,000–100,000 loan records constructed in two phases:</w:t>
      </w:r>
    </w:p>
    <w:p w14:paraId="21395015" w14:textId="77777777" w:rsidR="00342D8D" w:rsidRPr="00180562" w:rsidRDefault="00342D8D">
      <w:pPr>
        <w:spacing w:before="60"/>
        <w:rPr>
          <w:rFonts w:ascii="Times New Roman" w:hAnsi="Times New Roman" w:cs="Times New Roman"/>
          <w:sz w:val="24"/>
          <w:szCs w:val="24"/>
        </w:rPr>
      </w:pPr>
    </w:p>
    <w:p w14:paraId="2EC20BDF"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Phase 1 (Current Proposal): Public and synthetic data sources are combined to simulate the alternative-data environment. The table below details each source, the features derived, and the access mechanism.</w:t>
      </w:r>
    </w:p>
    <w:p w14:paraId="654E4679" w14:textId="77777777" w:rsidR="00342D8D" w:rsidRPr="00180562" w:rsidRDefault="00342D8D">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342D8D" w:rsidRPr="00180562" w14:paraId="12C3DB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6F26F58"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Data Source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DA63F37"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Features Derived</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DD3D5F5"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Access Mechanism</w:t>
            </w:r>
          </w:p>
        </w:tc>
      </w:tr>
      <w:tr w:rsidR="00342D8D" w:rsidRPr="00180562" w14:paraId="7F00CB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CC038C"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NPCI UPI Statistics (Public)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3B10DF0"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Transaction frequency, P2M ratios, merchant diversity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70A898"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NPCI open data portal; synthetic proxies for micro-level simulation</w:t>
            </w:r>
          </w:p>
        </w:tc>
      </w:tr>
      <w:tr w:rsidR="00342D8D" w:rsidRPr="00180562" w14:paraId="6AD32E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8CBAA1"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RBI DBIE Portal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E0A282"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Jan Dhan account activity, NPA ratios, district-level credit ratios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71DE8"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Public REST API</w:t>
            </w:r>
          </w:p>
        </w:tc>
      </w:tr>
      <w:tr w:rsidR="00342D8D" w:rsidRPr="00180562" w14:paraId="30672A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AA5543"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GST Filing Records (Synthetic)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B95B080"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Filing regularity index, quarterly compliance score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A0EB13"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Simulated from GSTN aggregate bulletins</w:t>
            </w:r>
          </w:p>
        </w:tc>
      </w:tr>
      <w:tr w:rsidR="00342D8D" w:rsidRPr="00180562" w14:paraId="742F8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C98D8A"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Utility Payment Histories (Synthetic)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479969"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Payment consistency ratio, delinquency 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D5266B"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Proxy constructed from DISCOM billing data patterns</w:t>
            </w:r>
          </w:p>
        </w:tc>
      </w:tr>
      <w:tr w:rsidR="00342D8D" w:rsidRPr="00180562" w14:paraId="6D970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5EE3E99D"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AA Framework (Future Phase)</w:t>
            </w:r>
          </w:p>
        </w:tc>
        <w:tc>
          <w:tcPr>
            <w:tcW w:w="320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68861F7F"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Live consent-based aggregated financial flows</w:t>
            </w:r>
          </w:p>
        </w:tc>
        <w:tc>
          <w:tcPr>
            <w:tcW w:w="336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7C7347D0"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Direct integration with RBI-licensed AA operators (post-pilot)</w:t>
            </w:r>
          </w:p>
        </w:tc>
      </w:tr>
    </w:tbl>
    <w:p w14:paraId="54F57E65" w14:textId="77777777" w:rsidR="00342D8D" w:rsidRPr="00180562" w:rsidRDefault="00342D8D">
      <w:pPr>
        <w:spacing w:before="80"/>
        <w:rPr>
          <w:rFonts w:ascii="Times New Roman" w:hAnsi="Times New Roman" w:cs="Times New Roman"/>
          <w:sz w:val="24"/>
          <w:szCs w:val="24"/>
        </w:rPr>
      </w:pPr>
    </w:p>
    <w:p w14:paraId="68FED2B6"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A key methodological honesty: synthetic proxies are constructed from aggregate statistical releases (NPCI bulletins, GSTN compliance summaries, DISCOM billing averages) and are not equivalent to individual-level AA-aggregated data. Synthetic data will underestimate real-world feature noise, correlational structure between variables, and data gaps arising from irregular digital engagement. Findings from Phase 1 must therefore be interpreted as directional, not definitive.</w:t>
      </w:r>
    </w:p>
    <w:p w14:paraId="12E69126" w14:textId="77777777" w:rsidR="00342D8D" w:rsidRPr="00180562" w:rsidRDefault="00342D8D">
      <w:pPr>
        <w:spacing w:before="60"/>
        <w:rPr>
          <w:rFonts w:ascii="Times New Roman" w:hAnsi="Times New Roman" w:cs="Times New Roman"/>
          <w:sz w:val="24"/>
          <w:szCs w:val="24"/>
        </w:rPr>
      </w:pPr>
    </w:p>
    <w:p w14:paraId="325B0A0A"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Phase 2 (Future Full Paper): Direct partnership with one or more RBI-licensed AA operators (Finvu, OneMoney, CAMSFinServ) to access live consent-based transaction flows. This is the only mechanism that can validate Phase 1 findings and establish real-world deployment readiness. A draft MOU framework for AA data access is appended in Supplementary Material A.</w:t>
      </w:r>
    </w:p>
    <w:p w14:paraId="699CF40D" w14:textId="77777777" w:rsidR="00342D8D" w:rsidRPr="00180562" w:rsidRDefault="00342D8D">
      <w:pPr>
        <w:spacing w:before="60"/>
        <w:rPr>
          <w:rFonts w:ascii="Times New Roman" w:hAnsi="Times New Roman" w:cs="Times New Roman"/>
          <w:sz w:val="24"/>
          <w:szCs w:val="24"/>
        </w:rPr>
      </w:pPr>
    </w:p>
    <w:p w14:paraId="454B8F6F"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5.2 Feature Engineering</w:t>
      </w:r>
    </w:p>
    <w:p w14:paraId="7ECA60B3"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Feature construction targets five behavioral dimensions shown to correlate with creditworthiness in the alternative-data literature:</w:t>
      </w:r>
    </w:p>
    <w:p w14:paraId="34ECA8E4"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UPI Transaction Features: monthly frequency, person-to-merchant (P2M) ratio, merchant category diversity score (Shannon entropy across NPCI merchant categories), transaction consistency index (coefficient of variation over 12-month rolling window).</w:t>
      </w:r>
    </w:p>
    <w:p w14:paraId="76180206"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GST Compliance Features: filing regularity index (on-time filings / total due filings), quarterly revenue trend (growth/decline flag), inter-quarter volatility.</w:t>
      </w:r>
    </w:p>
    <w:p w14:paraId="1212A029"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Utility Payment Features: payment consistency ratio (on-time payments / total bills over 24 months), delinquency flag (any payment &gt;30 days late).</w:t>
      </w:r>
    </w:p>
    <w:p w14:paraId="6F9701A9"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Mobile Recharge Patterns: recharge frequency, average recharge value, prepaid vs. postpaid signal (proxy for income regularity).</w:t>
      </w:r>
    </w:p>
    <w:p w14:paraId="0F279627"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Jan Dhan Account Features: average monthly balance, inward remittance frequency, DBT receipt flag.</w:t>
      </w:r>
    </w:p>
    <w:p w14:paraId="7CB7FD0D" w14:textId="77777777" w:rsidR="00342D8D" w:rsidRPr="00180562" w:rsidRDefault="00342D8D">
      <w:pPr>
        <w:spacing w:before="60"/>
        <w:rPr>
          <w:rFonts w:ascii="Times New Roman" w:hAnsi="Times New Roman" w:cs="Times New Roman"/>
          <w:sz w:val="24"/>
          <w:szCs w:val="24"/>
        </w:rPr>
      </w:pPr>
    </w:p>
    <w:p w14:paraId="3973E657"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The target variable is binary: default (NPA &gt; 90 days) vs. non-default. Future work will explore a three-class outcome (non-default / early-stress / NPA) to address the binary classification limitation noted in Section 8.</w:t>
      </w:r>
    </w:p>
    <w:p w14:paraId="2E5872F2" w14:textId="77777777" w:rsidR="00342D8D" w:rsidRPr="00180562" w:rsidRDefault="00342D8D">
      <w:pPr>
        <w:spacing w:before="60"/>
        <w:rPr>
          <w:rFonts w:ascii="Times New Roman" w:hAnsi="Times New Roman" w:cs="Times New Roman"/>
          <w:sz w:val="24"/>
          <w:szCs w:val="24"/>
        </w:rPr>
      </w:pPr>
    </w:p>
    <w:p w14:paraId="123E7181"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5.3 Class Imbalance Handling</w:t>
      </w:r>
    </w:p>
    <w:p w14:paraId="00950F33"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Credit default datasets are inherently imbalanced — default events typically constitute 3–8% of observations. SMOTE (Synthetic Minority Over-sampling Technique) will be applied exclusively to the training set to synthesize minority-class observations, following Valdrighi et al. (2025). Three important constraints govern this application:</w:t>
      </w:r>
    </w:p>
    <w:p w14:paraId="7174C6E1"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SMOTE is applied after train/test split to prevent data leakage.</w:t>
      </w:r>
    </w:p>
    <w:p w14:paraId="27FE9E27"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Fairness constraints are embedded during training to prevent SMOTE from amplifying demographic correlations present in the training data.</w:t>
      </w:r>
    </w:p>
    <w:p w14:paraId="6E05F949"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SMOTE's distributional assumptions — that synthetic samples interpolated between real minority-class observations are representative — may not hold for irregular-income borrowers whose default patterns are discontinuous. This limitation is acknowledged in Section 8 and addressed through sensitivity analysis comparing SMOTE versus weighted-loss approaches.</w:t>
      </w:r>
    </w:p>
    <w:p w14:paraId="76394B6B" w14:textId="77777777" w:rsidR="00342D8D" w:rsidRPr="00180562" w:rsidRDefault="00342D8D">
      <w:pPr>
        <w:spacing w:before="60"/>
        <w:rPr>
          <w:rFonts w:ascii="Times New Roman" w:hAnsi="Times New Roman" w:cs="Times New Roman"/>
          <w:sz w:val="24"/>
          <w:szCs w:val="24"/>
        </w:rPr>
      </w:pPr>
    </w:p>
    <w:p w14:paraId="0F0F4947"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5.4 Model Training</w:t>
      </w:r>
    </w:p>
    <w:p w14:paraId="587AD094"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Three models will be trained and compared:</w:t>
      </w:r>
    </w:p>
    <w:p w14:paraId="7AA0A8E9"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Logistic Regression: CIBIL-equivalent baseline, capturing linear relationships between features and default probability.</w:t>
      </w:r>
    </w:p>
    <w:p w14:paraId="007CE91C"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lastRenderedPageBreak/>
        <w:t>Random Forest: Ensemble method capturing non-linear feature interactions through bootstrapped decision trees.</w:t>
      </w:r>
    </w:p>
    <w:p w14:paraId="53079164" w14:textId="77777777" w:rsidR="00342D8D" w:rsidRPr="00180562" w:rsidRDefault="00000000">
      <w:pPr>
        <w:pStyle w:val="ListParagraph"/>
        <w:numPr>
          <w:ilvl w:val="0"/>
          <w:numId w:val="2"/>
        </w:numPr>
        <w:spacing w:before="60" w:after="60"/>
        <w:rPr>
          <w:rFonts w:ascii="Times New Roman" w:hAnsi="Times New Roman" w:cs="Times New Roman"/>
          <w:sz w:val="24"/>
          <w:szCs w:val="24"/>
        </w:rPr>
      </w:pPr>
      <w:r w:rsidRPr="00180562">
        <w:rPr>
          <w:rFonts w:ascii="Times New Roman" w:hAnsi="Times New Roman" w:cs="Times New Roman"/>
          <w:sz w:val="24"/>
          <w:szCs w:val="24"/>
        </w:rPr>
        <w:t>XGBoost: Gradient-boosted trees with hyperparameter tuning via 5-fold stratified cross-validation grid search. Primary model for SHAP analysis.</w:t>
      </w:r>
    </w:p>
    <w:p w14:paraId="64618856" w14:textId="77777777" w:rsidR="00342D8D" w:rsidRPr="00180562" w:rsidRDefault="00342D8D">
      <w:pPr>
        <w:spacing w:before="60"/>
        <w:rPr>
          <w:rFonts w:ascii="Times New Roman" w:hAnsi="Times New Roman" w:cs="Times New Roman"/>
          <w:sz w:val="24"/>
          <w:szCs w:val="24"/>
        </w:rPr>
      </w:pPr>
    </w:p>
    <w:p w14:paraId="0CB83CD6"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All models are evaluated on a held-out 20% test set using stratified k-fold cross-validation to ensure class balance. Hyperparameter search space for XGBoost includes: learning rate (0.01–0.3), max depth (3–8), n_estimators (100–500), subsample (0.6–1.0), and colsample_bytree (0.6–1.0).</w:t>
      </w:r>
    </w:p>
    <w:p w14:paraId="13029F4F" w14:textId="77777777" w:rsidR="00342D8D" w:rsidRPr="00180562" w:rsidRDefault="00342D8D">
      <w:pPr>
        <w:spacing w:before="60"/>
        <w:rPr>
          <w:rFonts w:ascii="Times New Roman" w:hAnsi="Times New Roman" w:cs="Times New Roman"/>
          <w:sz w:val="24"/>
          <w:szCs w:val="24"/>
        </w:rPr>
      </w:pPr>
    </w:p>
    <w:p w14:paraId="66A64AB3"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5.5 Evaluation Metrics</w:t>
      </w:r>
    </w:p>
    <w:p w14:paraId="148CAD4A"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Primary metrics: ROC-AUC (discriminative power), Precision, Recall, F1-score. Given the asymmetric cost of false negatives (missed defaults) versus false positives (denied creditworthy borrowers), the Kolmogorov-Smirnov statistic and Gini coefficient supplement AUC to measure distributional separation quality.</w:t>
      </w:r>
    </w:p>
    <w:p w14:paraId="73E0B7D0" w14:textId="77777777" w:rsidR="00342D8D" w:rsidRPr="00180562" w:rsidRDefault="00342D8D">
      <w:pPr>
        <w:spacing w:before="60"/>
        <w:rPr>
          <w:rFonts w:ascii="Times New Roman" w:hAnsi="Times New Roman" w:cs="Times New Roman"/>
          <w:sz w:val="24"/>
          <w:szCs w:val="24"/>
        </w:rPr>
      </w:pPr>
    </w:p>
    <w:p w14:paraId="0EF88ECB" w14:textId="77777777" w:rsidR="00342D8D" w:rsidRPr="00180562" w:rsidRDefault="00000000">
      <w:pPr>
        <w:pStyle w:val="Heading2"/>
        <w:rPr>
          <w:rFonts w:ascii="Times New Roman" w:hAnsi="Times New Roman" w:cs="Times New Roman"/>
        </w:rPr>
      </w:pPr>
      <w:r w:rsidRPr="00180562">
        <w:rPr>
          <w:rFonts w:ascii="Times New Roman" w:hAnsi="Times New Roman" w:cs="Times New Roman"/>
        </w:rPr>
        <w:t>5.6 Explainability and Fairness Audit</w:t>
      </w:r>
    </w:p>
    <w:p w14:paraId="708AA855"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SHAP values will be computed for all XGBoost predictions to generate global feature importance rankings and local per-applicant decision explanations (DZone / Alan Turing Institute, 2025). A structured bias audit tests for disparate impact across gender and rural/urban strata using the Contextual Fairness framework (ResearchGate, 2026).</w:t>
      </w:r>
    </w:p>
    <w:p w14:paraId="1268B3A0" w14:textId="77777777" w:rsidR="00342D8D" w:rsidRPr="00180562" w:rsidRDefault="00342D8D">
      <w:pPr>
        <w:spacing w:before="60"/>
        <w:rPr>
          <w:rFonts w:ascii="Times New Roman" w:hAnsi="Times New Roman" w:cs="Times New Roman"/>
          <w:sz w:val="24"/>
          <w:szCs w:val="24"/>
        </w:rPr>
      </w:pPr>
    </w:p>
    <w:p w14:paraId="55BFC695"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A specific fairness concern merits pre-registration: UPI transaction density is substantially higher in urban and semi-urban areas than in rural ones, reflecting infrastructure rather than creditworthiness differences. A model that weights UPI frequency heavily may systematically underserve rural applicants — the exact population this research aims to include. The fairness audit will explicitly test whether UPI features introduce geographic proxy discrimination, with calibrated post-processing and stratified threshold adjustment as candidate mitigations.</w:t>
      </w:r>
    </w:p>
    <w:p w14:paraId="39322A94" w14:textId="77777777" w:rsidR="00342D8D" w:rsidRPr="00180562" w:rsidRDefault="00342D8D">
      <w:pPr>
        <w:spacing w:before="120"/>
        <w:rPr>
          <w:rFonts w:ascii="Times New Roman" w:hAnsi="Times New Roman" w:cs="Times New Roman"/>
          <w:sz w:val="24"/>
          <w:szCs w:val="24"/>
        </w:rPr>
      </w:pPr>
    </w:p>
    <w:p w14:paraId="5498518C"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6. Expected Findings</w:t>
      </w:r>
    </w:p>
    <w:p w14:paraId="727D4345"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The following findings are anticipated based on theoretical grounding and prior empirical evidence. These are directional projections, not pre-registered results. The use of synthetic proxies means all quantitative figures carry wider confidence intervals than studies using live transaction data, and must be interpreted accordingly.</w:t>
      </w:r>
    </w:p>
    <w:p w14:paraId="4A8A9EFC" w14:textId="77777777" w:rsidR="00342D8D" w:rsidRPr="00180562" w:rsidRDefault="00342D8D">
      <w:pPr>
        <w:spacing w:before="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342D8D" w:rsidRPr="00180562" w14:paraId="04C37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301F932"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DC1D03A"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Expected AUC</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F5E0B79"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F1-Score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5EB08F5" w14:textId="77777777" w:rsidR="00342D8D" w:rsidRPr="00180562" w:rsidRDefault="00000000">
            <w:pPr>
              <w:jc w:val="center"/>
              <w:rPr>
                <w:rFonts w:ascii="Times New Roman" w:hAnsi="Times New Roman" w:cs="Times New Roman"/>
                <w:sz w:val="24"/>
                <w:szCs w:val="24"/>
              </w:rPr>
            </w:pPr>
            <w:r w:rsidRPr="00180562">
              <w:rPr>
                <w:rFonts w:ascii="Times New Roman" w:hAnsi="Times New Roman" w:cs="Times New Roman"/>
                <w:b/>
                <w:bCs/>
                <w:color w:val="FFFFFF"/>
                <w:sz w:val="24"/>
                <w:szCs w:val="24"/>
              </w:rPr>
              <w:t>Notes</w:t>
            </w:r>
          </w:p>
        </w:tc>
      </w:tr>
      <w:tr w:rsidR="00342D8D" w:rsidRPr="00180562" w14:paraId="45D923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AAC4061"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lastRenderedPageBreak/>
              <w:t>Logistic Regression (CIBIL baseline)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1D2EB7E9"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0.68 – 0.72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45223FD"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~0.55</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3B592E"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Bureau-score equivalent</w:t>
            </w:r>
          </w:p>
        </w:tc>
      </w:tr>
      <w:tr w:rsidR="00342D8D" w:rsidRPr="00180562" w14:paraId="420F6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2E5EC2"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60641"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0.76 – 0.80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5AB3EC"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~0.68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B52313"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Captures feature interactions</w:t>
            </w:r>
          </w:p>
        </w:tc>
      </w:tr>
      <w:tr w:rsidR="00342D8D" w:rsidRPr="00180562" w14:paraId="0DFD1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6510676B"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XGBoost + SHAP</w:t>
            </w:r>
          </w:p>
        </w:tc>
        <w:tc>
          <w:tcPr>
            <w:tcW w:w="220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415C520E"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0.82 – 0.88</w:t>
            </w:r>
          </w:p>
        </w:tc>
        <w:tc>
          <w:tcPr>
            <w:tcW w:w="220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0DC4C94B"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~0.75</w:t>
            </w:r>
          </w:p>
        </w:tc>
        <w:tc>
          <w:tcPr>
            <w:tcW w:w="2760" w:type="dxa"/>
            <w:tcBorders>
              <w:top w:val="single" w:sz="1" w:space="0" w:color="CCCCCC"/>
              <w:left w:val="single" w:sz="1" w:space="0" w:color="CCCCCC"/>
              <w:bottom w:val="single" w:sz="1" w:space="0" w:color="CCCCCC"/>
              <w:right w:val="single" w:sz="1" w:space="0" w:color="CCCCCC"/>
            </w:tcBorders>
            <w:shd w:val="clear" w:color="auto" w:fill="EBF1F7"/>
            <w:tcMar>
              <w:top w:w="80" w:type="dxa"/>
              <w:left w:w="150" w:type="dxa"/>
              <w:bottom w:w="80" w:type="dxa"/>
              <w:right w:w="150" w:type="dxa"/>
            </w:tcMar>
          </w:tcPr>
          <w:p w14:paraId="516AEC6E" w14:textId="77777777" w:rsidR="00342D8D" w:rsidRPr="00180562" w:rsidRDefault="00000000">
            <w:pPr>
              <w:rPr>
                <w:rFonts w:ascii="Times New Roman" w:hAnsi="Times New Roman" w:cs="Times New Roman"/>
                <w:sz w:val="24"/>
                <w:szCs w:val="24"/>
              </w:rPr>
            </w:pPr>
            <w:r w:rsidRPr="00180562">
              <w:rPr>
                <w:rFonts w:ascii="Times New Roman" w:hAnsi="Times New Roman" w:cs="Times New Roman"/>
                <w:sz w:val="24"/>
                <w:szCs w:val="24"/>
              </w:rPr>
              <w:t>Primary model; fairness-audited</w:t>
            </w:r>
          </w:p>
        </w:tc>
      </w:tr>
    </w:tbl>
    <w:p w14:paraId="4224C5B0" w14:textId="77777777" w:rsidR="00342D8D" w:rsidRPr="00180562" w:rsidRDefault="00342D8D">
      <w:pPr>
        <w:spacing w:before="80"/>
        <w:rPr>
          <w:rFonts w:ascii="Times New Roman" w:hAnsi="Times New Roman" w:cs="Times New Roman"/>
          <w:sz w:val="24"/>
          <w:szCs w:val="24"/>
        </w:rPr>
      </w:pPr>
    </w:p>
    <w:p w14:paraId="17C0B713"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Finding 1 — AUC Improvement: XGBoost trained on alternative data features is expected to achieve a ROC-AUC of 0.82–0.88, compared to 0.68–0.72 for the CIBIL-equivalent logistic regression baseline. These figures are benchmarked against the World Bank (2024) rural population study but may not replicate with synthetic data; the honest range is wider than a live-data study would produce.</w:t>
      </w:r>
    </w:p>
    <w:p w14:paraId="573C07FA" w14:textId="77777777" w:rsidR="00342D8D" w:rsidRPr="00180562" w:rsidRDefault="00342D8D">
      <w:pPr>
        <w:spacing w:before="60"/>
        <w:rPr>
          <w:rFonts w:ascii="Times New Roman" w:hAnsi="Times New Roman" w:cs="Times New Roman"/>
          <w:sz w:val="24"/>
          <w:szCs w:val="24"/>
        </w:rPr>
      </w:pPr>
    </w:p>
    <w:p w14:paraId="350AE4E0"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Finding 2 — Feature Importance: SHAP analysis is expected to identify UPI transaction frequency, merchant-category diversity, and utility payment consistency as the three most predictive features, collectively explaining over 60% of default-risk variance. However, this ordering is contingent on synthetic data construction choices and should be validated against live AA-aggregated data before operational conclusions are drawn.</w:t>
      </w:r>
    </w:p>
    <w:p w14:paraId="7DFB4428" w14:textId="77777777" w:rsidR="00342D8D" w:rsidRPr="00180562" w:rsidRDefault="00342D8D">
      <w:pPr>
        <w:spacing w:before="60"/>
        <w:rPr>
          <w:rFonts w:ascii="Times New Roman" w:hAnsi="Times New Roman" w:cs="Times New Roman"/>
          <w:sz w:val="24"/>
          <w:szCs w:val="24"/>
        </w:rPr>
      </w:pPr>
    </w:p>
    <w:p w14:paraId="2B72AA1E"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Finding 3 — Fairness Residuals: The fairness audit is expected to reveal residual urban-rural disparities in model confidence scores attributable to UPI density differentials. Calibrated post-processing and stratified threshold adjustment are anticipated to reduce but not eliminate this disparity — providing a replicable bias-mitigation protocol while honestly acknowledging that full parity may require feature redesign rather than post-hoc calibration alone.</w:t>
      </w:r>
    </w:p>
    <w:p w14:paraId="68F516D7" w14:textId="77777777" w:rsidR="00342D8D" w:rsidRPr="00180562" w:rsidRDefault="00342D8D">
      <w:pPr>
        <w:spacing w:before="120"/>
        <w:rPr>
          <w:rFonts w:ascii="Times New Roman" w:hAnsi="Times New Roman" w:cs="Times New Roman"/>
          <w:sz w:val="24"/>
          <w:szCs w:val="24"/>
        </w:rPr>
      </w:pPr>
    </w:p>
    <w:p w14:paraId="1D7A1D0F"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7. Expected Contributions</w:t>
      </w:r>
    </w:p>
    <w:p w14:paraId="70B991F4"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This proposal makes four distinct contributions to economic and financial understanding, framed as contributions of a research proposal rather than a completed study:</w:t>
      </w:r>
    </w:p>
    <w:p w14:paraId="1A211EC0" w14:textId="77777777" w:rsidR="00342D8D" w:rsidRPr="00180562" w:rsidRDefault="00342D8D">
      <w:pPr>
        <w:spacing w:before="60"/>
        <w:rPr>
          <w:rFonts w:ascii="Times New Roman" w:hAnsi="Times New Roman" w:cs="Times New Roman"/>
          <w:sz w:val="24"/>
          <w:szCs w:val="24"/>
        </w:rPr>
      </w:pPr>
    </w:p>
    <w:p w14:paraId="03A56ED1"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Empirical Contribution: </w:t>
      </w:r>
      <w:r w:rsidRPr="00180562">
        <w:rPr>
          <w:rFonts w:ascii="Times New Roman" w:hAnsi="Times New Roman" w:cs="Times New Roman"/>
          <w:sz w:val="24"/>
          <w:szCs w:val="24"/>
        </w:rPr>
        <w:t>A systematic benchmarking of UPI-derived alternative features against bureau-based scores for India's credit-invisible segment, providing lenders with a quantified ROC-AUC improvement case for alternative underwriting. This is the first study to apply this pipeline to the Indian AA context, though the synthetic-data caveat limits immediate generalizability.</w:t>
      </w:r>
    </w:p>
    <w:p w14:paraId="7C98EAD7" w14:textId="77777777" w:rsidR="00342D8D" w:rsidRPr="00180562" w:rsidRDefault="00342D8D">
      <w:pPr>
        <w:spacing w:before="60"/>
        <w:rPr>
          <w:rFonts w:ascii="Times New Roman" w:hAnsi="Times New Roman" w:cs="Times New Roman"/>
          <w:sz w:val="24"/>
          <w:szCs w:val="24"/>
        </w:rPr>
      </w:pPr>
    </w:p>
    <w:p w14:paraId="11762CAD"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Policy Contribution: </w:t>
      </w:r>
      <w:r w:rsidRPr="00180562">
        <w:rPr>
          <w:rFonts w:ascii="Times New Roman" w:hAnsi="Times New Roman" w:cs="Times New Roman"/>
          <w:sz w:val="24"/>
          <w:szCs w:val="24"/>
        </w:rPr>
        <w:t xml:space="preserve">Actionable recommendations for RBI's Account Aggregator framework expansion, specifically the integration of SHAP-based explainability as a transparency-compliance </w:t>
      </w:r>
      <w:r w:rsidRPr="00180562">
        <w:rPr>
          <w:rFonts w:ascii="Times New Roman" w:hAnsi="Times New Roman" w:cs="Times New Roman"/>
          <w:sz w:val="24"/>
          <w:szCs w:val="24"/>
        </w:rPr>
        <w:lastRenderedPageBreak/>
        <w:t>mechanism under the 2024 digital lending guidelines — enabling first-time borrowers to receive intelligible, contestable credit decisions. A draft recommendation framework for embedding SHAP outputs within RBI's existing grievance redressal architecture is included in Supplementary Material B.</w:t>
      </w:r>
    </w:p>
    <w:p w14:paraId="7D9C91FB" w14:textId="77777777" w:rsidR="00342D8D" w:rsidRPr="00180562" w:rsidRDefault="00342D8D">
      <w:pPr>
        <w:spacing w:before="60"/>
        <w:rPr>
          <w:rFonts w:ascii="Times New Roman" w:hAnsi="Times New Roman" w:cs="Times New Roman"/>
          <w:sz w:val="24"/>
          <w:szCs w:val="24"/>
        </w:rPr>
      </w:pPr>
    </w:p>
    <w:p w14:paraId="7A993FAB"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Methodological Contribution: </w:t>
      </w:r>
      <w:r w:rsidRPr="00180562">
        <w:rPr>
          <w:rFonts w:ascii="Times New Roman" w:hAnsi="Times New Roman" w:cs="Times New Roman"/>
          <w:sz w:val="24"/>
          <w:szCs w:val="24"/>
        </w:rPr>
        <w:t>A complete, replicable ML pipeline — from alternative-feature construction through SMOTE imbalance correction, SHAP explainability, fairness auditing, and phased live-data integration — directly adaptable by other developing economies with UPI-equivalent digital payment penetration (Bangladesh bKash, Kenya M-Pesa, Brazil PIX). Code and synthetic dataset generation scripts will be released open-source.</w:t>
      </w:r>
    </w:p>
    <w:p w14:paraId="642C7C21" w14:textId="77777777" w:rsidR="00342D8D" w:rsidRPr="00180562" w:rsidRDefault="00342D8D">
      <w:pPr>
        <w:spacing w:before="60"/>
        <w:rPr>
          <w:rFonts w:ascii="Times New Roman" w:hAnsi="Times New Roman" w:cs="Times New Roman"/>
          <w:sz w:val="24"/>
          <w:szCs w:val="24"/>
        </w:rPr>
      </w:pPr>
    </w:p>
    <w:p w14:paraId="19A2E551"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Development Economics Contribution: </w:t>
      </w:r>
      <w:r w:rsidRPr="00180562">
        <w:rPr>
          <w:rFonts w:ascii="Times New Roman" w:hAnsi="Times New Roman" w:cs="Times New Roman"/>
          <w:sz w:val="24"/>
          <w:szCs w:val="24"/>
        </w:rPr>
        <w:t>If alternative-data ML models extend formal credit access to even 10% of India's 190 million unbanked adults, the multiplier effect on rural GDP growth constitutes a compelling macroeconomic rationale for regulatory investment in consent-based data infrastructure (CASI/Penn, 2024). The policy case is strongest when combined with a credible fairness audit — credit inclusion that systematically disadvantages rural populations would reproduce the exclusion it purports to solve.</w:t>
      </w:r>
    </w:p>
    <w:p w14:paraId="19441A69" w14:textId="77777777" w:rsidR="00342D8D" w:rsidRPr="00180562" w:rsidRDefault="00342D8D">
      <w:pPr>
        <w:spacing w:before="120"/>
        <w:rPr>
          <w:rFonts w:ascii="Times New Roman" w:hAnsi="Times New Roman" w:cs="Times New Roman"/>
          <w:sz w:val="24"/>
          <w:szCs w:val="24"/>
        </w:rPr>
      </w:pPr>
    </w:p>
    <w:p w14:paraId="64B5FAA5"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8. Limitations and Mitigation Strategy</w:t>
      </w:r>
    </w:p>
    <w:p w14:paraId="345D773D"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sz w:val="24"/>
          <w:szCs w:val="24"/>
        </w:rPr>
        <w:t>This proposal acknowledges five limitations, with corresponding mitigations where available.</w:t>
      </w:r>
    </w:p>
    <w:p w14:paraId="00B43D33" w14:textId="77777777" w:rsidR="00342D8D" w:rsidRPr="00180562" w:rsidRDefault="00342D8D">
      <w:pPr>
        <w:spacing w:before="60"/>
        <w:rPr>
          <w:rFonts w:ascii="Times New Roman" w:hAnsi="Times New Roman" w:cs="Times New Roman"/>
          <w:sz w:val="24"/>
          <w:szCs w:val="24"/>
        </w:rPr>
      </w:pPr>
    </w:p>
    <w:p w14:paraId="1D9C7F6F"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Limitation 1 — Synthetic Data: </w:t>
      </w:r>
      <w:r w:rsidRPr="00180562">
        <w:rPr>
          <w:rFonts w:ascii="Times New Roman" w:hAnsi="Times New Roman" w:cs="Times New Roman"/>
          <w:sz w:val="24"/>
          <w:szCs w:val="24"/>
        </w:rPr>
        <w:t>The reliance on synthetic alternative-data proxies rather than live AA-aggregated transaction records is the most significant constraint. Synthetic data will underestimate real-world feature noise, inter-variable correlations, and data gap patterns. All quantitative findings must therefore be interpreted as directional projections. Mitigation: Phase 2 AA partnership (Section 5.1) is designed to validate and supersede Phase 1 findings.</w:t>
      </w:r>
    </w:p>
    <w:p w14:paraId="17D177C1" w14:textId="77777777" w:rsidR="00342D8D" w:rsidRPr="00180562" w:rsidRDefault="00342D8D">
      <w:pPr>
        <w:spacing w:before="60"/>
        <w:rPr>
          <w:rFonts w:ascii="Times New Roman" w:hAnsi="Times New Roman" w:cs="Times New Roman"/>
          <w:sz w:val="24"/>
          <w:szCs w:val="24"/>
        </w:rPr>
      </w:pPr>
    </w:p>
    <w:p w14:paraId="59EBEF75"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Limitation 2 — Binary Default Classification: </w:t>
      </w:r>
      <w:r w:rsidRPr="00180562">
        <w:rPr>
          <w:rFonts w:ascii="Times New Roman" w:hAnsi="Times New Roman" w:cs="Times New Roman"/>
          <w:sz w:val="24"/>
          <w:szCs w:val="24"/>
        </w:rPr>
        <w:t>The NPA &gt; 90-day binary target does not capture early-stage repayment stress, which is often more actionable for lenders. Mitigation: Future full-paper development will explore a three-class outcome (performing / early-stress / NPA) and survival analysis approaches to model time-to-default.</w:t>
      </w:r>
    </w:p>
    <w:p w14:paraId="4B4E3082" w14:textId="77777777" w:rsidR="00342D8D" w:rsidRPr="00180562" w:rsidRDefault="00342D8D">
      <w:pPr>
        <w:spacing w:before="60"/>
        <w:rPr>
          <w:rFonts w:ascii="Times New Roman" w:hAnsi="Times New Roman" w:cs="Times New Roman"/>
          <w:sz w:val="24"/>
          <w:szCs w:val="24"/>
        </w:rPr>
      </w:pPr>
    </w:p>
    <w:p w14:paraId="11A7DB06"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Limitation 3 — SMOTE Distributional Assumptions: </w:t>
      </w:r>
      <w:r w:rsidRPr="00180562">
        <w:rPr>
          <w:rFonts w:ascii="Times New Roman" w:hAnsi="Times New Roman" w:cs="Times New Roman"/>
          <w:sz w:val="24"/>
          <w:szCs w:val="24"/>
        </w:rPr>
        <w:t>SMOTE assumes that linear interpolation between minority-class observations produces representative synthetic samples. For irregular-income borrowers, whose default patterns may be discontinuous, this assumption may not hold. Mitigation: Sensitivity analysis comparing SMOTE versus class-weighted loss functions and ADASYN will be conducted; results will be reported regardless of outcome.</w:t>
      </w:r>
    </w:p>
    <w:p w14:paraId="6F8A28F4" w14:textId="77777777" w:rsidR="00342D8D" w:rsidRPr="00180562" w:rsidRDefault="00342D8D">
      <w:pPr>
        <w:spacing w:before="60"/>
        <w:rPr>
          <w:rFonts w:ascii="Times New Roman" w:hAnsi="Times New Roman" w:cs="Times New Roman"/>
          <w:sz w:val="24"/>
          <w:szCs w:val="24"/>
        </w:rPr>
      </w:pPr>
    </w:p>
    <w:p w14:paraId="22520630"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Limitation 4 — Geographic Proxy Discrimination: </w:t>
      </w:r>
      <w:r w:rsidRPr="00180562">
        <w:rPr>
          <w:rFonts w:ascii="Times New Roman" w:hAnsi="Times New Roman" w:cs="Times New Roman"/>
          <w:sz w:val="24"/>
          <w:szCs w:val="24"/>
        </w:rPr>
        <w:t>UPI transaction density is substantially higher in urban areas, creating a risk that the model proxies geography rather than creditworthiness. Mitigation: The pre-registered fairness audit in Section 5.6 specifically tests for this, with stratified threshold adjustment as a candidate remedy. If the bias cannot be adequately mitigated through post-processing, feature redesign (e.g., normalizing UPI features by regional density benchmarks) will be explored.</w:t>
      </w:r>
    </w:p>
    <w:p w14:paraId="3FC4287E" w14:textId="77777777" w:rsidR="00342D8D" w:rsidRPr="00180562" w:rsidRDefault="00342D8D">
      <w:pPr>
        <w:spacing w:before="60"/>
        <w:rPr>
          <w:rFonts w:ascii="Times New Roman" w:hAnsi="Times New Roman" w:cs="Times New Roman"/>
          <w:sz w:val="24"/>
          <w:szCs w:val="24"/>
        </w:rPr>
      </w:pPr>
    </w:p>
    <w:p w14:paraId="6352476F" w14:textId="77777777" w:rsidR="00342D8D" w:rsidRPr="00180562" w:rsidRDefault="00000000">
      <w:pPr>
        <w:spacing w:before="80" w:after="80" w:line="276" w:lineRule="auto"/>
        <w:jc w:val="both"/>
        <w:rPr>
          <w:rFonts w:ascii="Times New Roman" w:hAnsi="Times New Roman" w:cs="Times New Roman"/>
          <w:sz w:val="24"/>
          <w:szCs w:val="24"/>
        </w:rPr>
      </w:pPr>
      <w:r w:rsidRPr="00180562">
        <w:rPr>
          <w:rFonts w:ascii="Times New Roman" w:hAnsi="Times New Roman" w:cs="Times New Roman"/>
          <w:b/>
          <w:bCs/>
          <w:sz w:val="24"/>
          <w:szCs w:val="24"/>
        </w:rPr>
        <w:t xml:space="preserve">Limitation 5 — Single Competition Submission Context: </w:t>
      </w:r>
      <w:r w:rsidRPr="00180562">
        <w:rPr>
          <w:rFonts w:ascii="Times New Roman" w:hAnsi="Times New Roman" w:cs="Times New Roman"/>
          <w:sz w:val="24"/>
          <w:szCs w:val="24"/>
        </w:rPr>
        <w:t>The YEL-Synthica competition format constrains the study to a proposal rather than a completed empirical paper. Findings are accordingly framed as anticipated rather than confirmed. Full paper development is planned for submission to the Journal of Development Economics or Review of Finance and Banking following Phase 2 data access.</w:t>
      </w:r>
    </w:p>
    <w:p w14:paraId="668B491C" w14:textId="77777777" w:rsidR="00342D8D" w:rsidRPr="00180562" w:rsidRDefault="00342D8D">
      <w:pPr>
        <w:spacing w:before="120"/>
        <w:rPr>
          <w:rFonts w:ascii="Times New Roman" w:hAnsi="Times New Roman" w:cs="Times New Roman"/>
          <w:sz w:val="24"/>
          <w:szCs w:val="24"/>
        </w:rPr>
      </w:pPr>
    </w:p>
    <w:p w14:paraId="0880A492" w14:textId="77777777" w:rsidR="00342D8D" w:rsidRPr="00180562" w:rsidRDefault="00342D8D">
      <w:pPr>
        <w:pBdr>
          <w:bottom w:val="single" w:sz="4" w:space="1" w:color="CCCCCC"/>
        </w:pBdr>
        <w:spacing w:before="200" w:after="200"/>
        <w:rPr>
          <w:rFonts w:ascii="Times New Roman" w:hAnsi="Times New Roman" w:cs="Times New Roman"/>
          <w:sz w:val="24"/>
          <w:szCs w:val="24"/>
        </w:rPr>
      </w:pPr>
    </w:p>
    <w:p w14:paraId="4A363002" w14:textId="77777777" w:rsidR="00342D8D" w:rsidRPr="00180562" w:rsidRDefault="00000000">
      <w:pPr>
        <w:pStyle w:val="Heading1"/>
        <w:rPr>
          <w:rFonts w:ascii="Times New Roman" w:hAnsi="Times New Roman" w:cs="Times New Roman"/>
          <w:sz w:val="24"/>
          <w:szCs w:val="24"/>
        </w:rPr>
      </w:pPr>
      <w:r w:rsidRPr="00180562">
        <w:rPr>
          <w:rFonts w:ascii="Times New Roman" w:hAnsi="Times New Roman" w:cs="Times New Roman"/>
          <w:sz w:val="24"/>
          <w:szCs w:val="24"/>
        </w:rPr>
        <w:t>References</w:t>
      </w:r>
    </w:p>
    <w:p w14:paraId="1BDC94B2"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Akerlof, G. A. (1970). The market for lemons: Quality uncertainty and the market mechanism. Quarterly Journal of Economics, 84(3), 488–500.</w:t>
      </w:r>
    </w:p>
    <w:p w14:paraId="78412D94"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Asian Banking &amp; Finance. (2024). How India's 53% credit-to-GDP ratio exposes the lending gap. Asian Banking &amp; Finance.</w:t>
      </w:r>
    </w:p>
    <w:p w14:paraId="777E7A74"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AU Small Finance Bank. (2024). RBI guidelines for digital lending: Shaping a new era. AU Bank Knowledge Centre.</w:t>
      </w:r>
    </w:p>
    <w:p w14:paraId="4A2C9F5D"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CASParser Team. (2026). State of account aggregator in 2026: What founders actually need to know. CASParser Research.</w:t>
      </w:r>
    </w:p>
    <w:p w14:paraId="2CEA89EE"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Centre for Advanced Study of India (CASI), University of Pennsylvania. (2024). Credit invisibility and rural GDP: Evidence from India's digital lending expansion. CASI Working Papers.</w:t>
      </w:r>
    </w:p>
    <w:p w14:paraId="3CBA2C74"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DZone / Alan Turing Institute. (2025). Explainable AI part 7: SHAP — Financial decision-making. DZone Financial Tech.</w:t>
      </w:r>
    </w:p>
    <w:p w14:paraId="4D48326F"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Godrej Capital. (2026). AI-based credit scoring in 2026: What MSMEs need to know. Godrej Capital Knowledge Centre. [Note: Industry source; findings corroborated by peer-reviewed literature cited above.]</w:t>
      </w:r>
    </w:p>
    <w:p w14:paraId="65C3B36C"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Journal of Financial Intermediation. (2025). Adverse selection and moral hazard in emerging credit markets. Journal of Financial Intermediation, 68, 101–124.</w:t>
      </w:r>
    </w:p>
    <w:p w14:paraId="1FC7340B"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MDPI. (2026). Asymmetric information and credit rationing in a model of search. Games, 16(1), Article 1. https://doi.org/10.3390/g16010001</w:t>
      </w:r>
    </w:p>
    <w:p w14:paraId="38243C80"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National Payments Corporation of India (NPCI) / PIB Delhi. (2026). UPI completes 10 glorious years, emerges as world's largest real-time payments platform. Press Information Bureau.</w:t>
      </w:r>
    </w:p>
    <w:p w14:paraId="6131BE4F"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Reserve Bank of India. (2024). Master directions on digital lending. RBI Circular DNBR.PD.007/03.10.119/2024-25. Reserve Bank of India.</w:t>
      </w:r>
    </w:p>
    <w:p w14:paraId="4C5EC54C"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lastRenderedPageBreak/>
        <w:t>ResearchGate / Journal of Home Economics Technology and Innovation. (2026). Bias, fairness, and explainability in AI-driven credit scoring: A critical review. Journal of Home Economics Technology and Innovation, 2(01), 45–78.</w:t>
      </w:r>
    </w:p>
    <w:p w14:paraId="6AC3E453"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Stiglitz, J. E., &amp; Weiss, A. (1981). Credit rationing in markets with imperfect information. American Economic Review, 71(3), 393–410.</w:t>
      </w:r>
    </w:p>
    <w:p w14:paraId="781B3DAF"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Valdrighi, A., et al. (2025). Responsible ML in credit scoring: Bias mitigation and SMOTE. Journal of Home Economics Technology and Innovation, 1(04), 12–34.</w:t>
      </w:r>
    </w:p>
    <w:p w14:paraId="481A543E" w14:textId="77777777" w:rsidR="00342D8D" w:rsidRPr="00180562" w:rsidRDefault="00000000">
      <w:pPr>
        <w:spacing w:before="60" w:after="60" w:line="252" w:lineRule="auto"/>
        <w:ind w:left="720" w:hanging="720"/>
        <w:jc w:val="both"/>
        <w:rPr>
          <w:rFonts w:ascii="Times New Roman" w:hAnsi="Times New Roman" w:cs="Times New Roman"/>
          <w:sz w:val="24"/>
          <w:szCs w:val="24"/>
        </w:rPr>
      </w:pPr>
      <w:r w:rsidRPr="00180562">
        <w:rPr>
          <w:rFonts w:ascii="Times New Roman" w:hAnsi="Times New Roman" w:cs="Times New Roman"/>
          <w:sz w:val="24"/>
          <w:szCs w:val="24"/>
        </w:rPr>
        <w:t>World Bank Economic Review. (2024). Econometric vs. ML models: A comparison in developing economies. World Bank Economic Review, 38(2), 220–248.</w:t>
      </w:r>
    </w:p>
    <w:p w14:paraId="351E9721" w14:textId="77777777" w:rsidR="00342D8D" w:rsidRPr="00180562" w:rsidRDefault="00342D8D">
      <w:pPr>
        <w:spacing w:before="240"/>
        <w:rPr>
          <w:rFonts w:ascii="Times New Roman" w:hAnsi="Times New Roman" w:cs="Times New Roman"/>
          <w:sz w:val="24"/>
          <w:szCs w:val="24"/>
        </w:rPr>
      </w:pPr>
    </w:p>
    <w:sectPr w:rsidR="00342D8D" w:rsidRPr="0018056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8448" w14:textId="77777777" w:rsidR="00785F08" w:rsidRDefault="00785F08">
      <w:r>
        <w:separator/>
      </w:r>
    </w:p>
  </w:endnote>
  <w:endnote w:type="continuationSeparator" w:id="0">
    <w:p w14:paraId="4DC280DA" w14:textId="77777777" w:rsidR="00785F08" w:rsidRDefault="0078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89B" w14:textId="77777777" w:rsidR="00342D8D" w:rsidRDefault="00000000">
    <w:pPr>
      <w:pBdr>
        <w:top w:val="single" w:sz="4" w:space="4" w:color="CCCCCC"/>
      </w:pBdr>
      <w:tabs>
        <w:tab w:val="right" w:pos="9360"/>
      </w:tabs>
      <w:spacing w:before="60"/>
    </w:pPr>
    <w:r>
      <w:rPr>
        <w:color w:val="777777"/>
        <w:sz w:val="18"/>
        <w:szCs w:val="18"/>
      </w:rPr>
      <w:t>Arpita Rathwa  |  B.Tech EEE  |  arpita.n.rathwa@gmail.com</w:t>
    </w:r>
    <w:r>
      <w:rPr>
        <w:sz w:val="18"/>
        <w:szCs w:val="18"/>
      </w:rPr>
      <w:tab/>
    </w:r>
    <w:r>
      <w:rPr>
        <w:color w:val="777777"/>
        <w:sz w:val="18"/>
        <w:szCs w:val="18"/>
      </w:rPr>
      <w:fldChar w:fldCharType="begin"/>
    </w:r>
    <w:r>
      <w:rPr>
        <w:color w:val="777777"/>
        <w:sz w:val="18"/>
        <w:szCs w:val="18"/>
      </w:rPr>
      <w:instrText>PAGE</w:instrText>
    </w:r>
    <w:r>
      <w:rPr>
        <w:color w:val="777777"/>
        <w:sz w:val="18"/>
        <w:szCs w:val="18"/>
      </w:rPr>
      <w:fldChar w:fldCharType="separate"/>
    </w:r>
    <w:r w:rsidR="0018056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862A" w14:textId="77777777" w:rsidR="00785F08" w:rsidRDefault="00785F08">
      <w:r>
        <w:separator/>
      </w:r>
    </w:p>
  </w:footnote>
  <w:footnote w:type="continuationSeparator" w:id="0">
    <w:p w14:paraId="7E6714A6" w14:textId="77777777" w:rsidR="00785F08" w:rsidRDefault="00785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7BC9" w14:textId="77777777" w:rsidR="00342D8D" w:rsidRPr="00180562" w:rsidRDefault="00000000">
    <w:pPr>
      <w:pBdr>
        <w:bottom w:val="single" w:sz="6" w:space="4" w:color="1F3864"/>
      </w:pBdr>
      <w:rPr>
        <w:rFonts w:ascii="Times New Roman" w:hAnsi="Times New Roman" w:cs="Times New Roman"/>
        <w:sz w:val="18"/>
        <w:szCs w:val="18"/>
      </w:rPr>
    </w:pPr>
    <w:r w:rsidRPr="00180562">
      <w:rPr>
        <w:rFonts w:ascii="Times New Roman" w:hAnsi="Times New Roman" w:cs="Times New Roman"/>
        <w:color w:val="555555"/>
        <w:sz w:val="18"/>
        <w:szCs w:val="18"/>
      </w:rPr>
      <w:t>Credit Invisibility and AI  |  NIT Calicut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61241"/>
    <w:multiLevelType w:val="hybridMultilevel"/>
    <w:tmpl w:val="F4A87BDA"/>
    <w:lvl w:ilvl="0" w:tplc="D5EA0C04">
      <w:start w:val="1"/>
      <w:numFmt w:val="bullet"/>
      <w:lvlText w:val="•"/>
      <w:lvlJc w:val="left"/>
      <w:pPr>
        <w:ind w:left="720" w:hanging="360"/>
      </w:pPr>
    </w:lvl>
    <w:lvl w:ilvl="1" w:tplc="5388FCB8">
      <w:numFmt w:val="decimal"/>
      <w:lvlText w:val=""/>
      <w:lvlJc w:val="left"/>
    </w:lvl>
    <w:lvl w:ilvl="2" w:tplc="B8505058">
      <w:numFmt w:val="decimal"/>
      <w:lvlText w:val=""/>
      <w:lvlJc w:val="left"/>
    </w:lvl>
    <w:lvl w:ilvl="3" w:tplc="B8FE9E66">
      <w:numFmt w:val="decimal"/>
      <w:lvlText w:val=""/>
      <w:lvlJc w:val="left"/>
    </w:lvl>
    <w:lvl w:ilvl="4" w:tplc="1D50DFC8">
      <w:numFmt w:val="decimal"/>
      <w:lvlText w:val=""/>
      <w:lvlJc w:val="left"/>
    </w:lvl>
    <w:lvl w:ilvl="5" w:tplc="7D1C12E0">
      <w:numFmt w:val="decimal"/>
      <w:lvlText w:val=""/>
      <w:lvlJc w:val="left"/>
    </w:lvl>
    <w:lvl w:ilvl="6" w:tplc="67848A60">
      <w:numFmt w:val="decimal"/>
      <w:lvlText w:val=""/>
      <w:lvlJc w:val="left"/>
    </w:lvl>
    <w:lvl w:ilvl="7" w:tplc="04466846">
      <w:numFmt w:val="decimal"/>
      <w:lvlText w:val=""/>
      <w:lvlJc w:val="left"/>
    </w:lvl>
    <w:lvl w:ilvl="8" w:tplc="B48E2EEE">
      <w:numFmt w:val="decimal"/>
      <w:lvlText w:val=""/>
      <w:lvlJc w:val="left"/>
    </w:lvl>
  </w:abstractNum>
  <w:abstractNum w:abstractNumId="1" w15:restartNumberingAfterBreak="0">
    <w:nsid w:val="65A073C3"/>
    <w:multiLevelType w:val="hybridMultilevel"/>
    <w:tmpl w:val="46AA453C"/>
    <w:lvl w:ilvl="0" w:tplc="90987EB2">
      <w:start w:val="1"/>
      <w:numFmt w:val="bullet"/>
      <w:lvlText w:val="●"/>
      <w:lvlJc w:val="left"/>
      <w:pPr>
        <w:ind w:left="720" w:hanging="360"/>
      </w:pPr>
    </w:lvl>
    <w:lvl w:ilvl="1" w:tplc="DF1CE602">
      <w:start w:val="1"/>
      <w:numFmt w:val="bullet"/>
      <w:lvlText w:val="○"/>
      <w:lvlJc w:val="left"/>
      <w:pPr>
        <w:ind w:left="1440" w:hanging="360"/>
      </w:pPr>
    </w:lvl>
    <w:lvl w:ilvl="2" w:tplc="59F8F4F8">
      <w:start w:val="1"/>
      <w:numFmt w:val="bullet"/>
      <w:lvlText w:val="■"/>
      <w:lvlJc w:val="left"/>
      <w:pPr>
        <w:ind w:left="2160" w:hanging="360"/>
      </w:pPr>
    </w:lvl>
    <w:lvl w:ilvl="3" w:tplc="5D3641BA">
      <w:start w:val="1"/>
      <w:numFmt w:val="bullet"/>
      <w:lvlText w:val="●"/>
      <w:lvlJc w:val="left"/>
      <w:pPr>
        <w:ind w:left="2880" w:hanging="360"/>
      </w:pPr>
    </w:lvl>
    <w:lvl w:ilvl="4" w:tplc="DB4EC966">
      <w:start w:val="1"/>
      <w:numFmt w:val="bullet"/>
      <w:lvlText w:val="○"/>
      <w:lvlJc w:val="left"/>
      <w:pPr>
        <w:ind w:left="3600" w:hanging="360"/>
      </w:pPr>
    </w:lvl>
    <w:lvl w:ilvl="5" w:tplc="F33028CE">
      <w:start w:val="1"/>
      <w:numFmt w:val="bullet"/>
      <w:lvlText w:val="■"/>
      <w:lvlJc w:val="left"/>
      <w:pPr>
        <w:ind w:left="4320" w:hanging="360"/>
      </w:pPr>
    </w:lvl>
    <w:lvl w:ilvl="6" w:tplc="B16AC1B2">
      <w:start w:val="1"/>
      <w:numFmt w:val="bullet"/>
      <w:lvlText w:val="●"/>
      <w:lvlJc w:val="left"/>
      <w:pPr>
        <w:ind w:left="5040" w:hanging="360"/>
      </w:pPr>
    </w:lvl>
    <w:lvl w:ilvl="7" w:tplc="82C2CE16">
      <w:start w:val="1"/>
      <w:numFmt w:val="bullet"/>
      <w:lvlText w:val="●"/>
      <w:lvlJc w:val="left"/>
      <w:pPr>
        <w:ind w:left="5760" w:hanging="360"/>
      </w:pPr>
    </w:lvl>
    <w:lvl w:ilvl="8" w:tplc="9D32F216">
      <w:start w:val="1"/>
      <w:numFmt w:val="bullet"/>
      <w:lvlText w:val="●"/>
      <w:lvlJc w:val="left"/>
      <w:pPr>
        <w:ind w:left="6480" w:hanging="360"/>
      </w:pPr>
    </w:lvl>
  </w:abstractNum>
  <w:num w:numId="1" w16cid:durableId="400063362">
    <w:abstractNumId w:val="1"/>
    <w:lvlOverride w:ilvl="0">
      <w:startOverride w:val="1"/>
    </w:lvlOverride>
  </w:num>
  <w:num w:numId="2" w16cid:durableId="523905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D8D"/>
    <w:rsid w:val="00180562"/>
    <w:rsid w:val="001B753F"/>
    <w:rsid w:val="00342D8D"/>
    <w:rsid w:val="00785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0D193"/>
  <w15:docId w15:val="{030F20E6-8663-478C-A5E6-4A4E35B7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4A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0562"/>
    <w:pPr>
      <w:tabs>
        <w:tab w:val="center" w:pos="4680"/>
        <w:tab w:val="right" w:pos="9360"/>
      </w:tabs>
    </w:pPr>
  </w:style>
  <w:style w:type="character" w:customStyle="1" w:styleId="HeaderChar">
    <w:name w:val="Header Char"/>
    <w:basedOn w:val="DefaultParagraphFont"/>
    <w:link w:val="Header"/>
    <w:uiPriority w:val="99"/>
    <w:rsid w:val="00180562"/>
  </w:style>
  <w:style w:type="paragraph" w:styleId="Footer">
    <w:name w:val="footer"/>
    <w:basedOn w:val="Normal"/>
    <w:link w:val="FooterChar"/>
    <w:uiPriority w:val="99"/>
    <w:unhideWhenUsed/>
    <w:rsid w:val="00180562"/>
    <w:pPr>
      <w:tabs>
        <w:tab w:val="center" w:pos="4680"/>
        <w:tab w:val="right" w:pos="9360"/>
      </w:tabs>
    </w:pPr>
  </w:style>
  <w:style w:type="character" w:customStyle="1" w:styleId="FooterChar">
    <w:name w:val="Footer Char"/>
    <w:basedOn w:val="DefaultParagraphFont"/>
    <w:link w:val="Footer"/>
    <w:uiPriority w:val="99"/>
    <w:rsid w:val="00180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3709</Words>
  <Characters>21142</Characters>
  <Application>Microsoft Office Word</Application>
  <DocSecurity>0</DocSecurity>
  <Lines>176</Lines>
  <Paragraphs>49</Paragraphs>
  <ScaleCrop>false</ScaleCrop>
  <Company/>
  <LinksUpToDate>false</LinksUpToDate>
  <CharactersWithSpaces>24802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Vedang Rathwa</cp:lastModifiedBy>
  <cp:revision>3</cp:revision>
  <dcterms:created xsi:type="dcterms:W3CDTF">2026-05-05T08:42:00Z</dcterms:created>
  <dcterms:modified xsi:type="dcterms:W3CDTF">2026-05-05T08:48:00Z</dcterms:modified>
</cp:coreProperties>
</file>