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aps/>
          <w:color w:val="2E74B5"/>
          <w:sz w:val="28"/>
          <w:szCs w:val="28"/>
        </w:rPr>
        <w:t xml:space="preserve">CASE STUDY</w:t>
      </w:r>
    </w:p>
    <w:p>
      <w:pPr>
        <w:spacing w:after="120"/>
        <w:jc w:val="center"/>
      </w:pPr>
      <w:r>
        <w:rPr>
          <w:b/>
          <w:bCs/>
          <w:color w:val="1F3864"/>
          <w:sz w:val="44"/>
          <w:szCs w:val="44"/>
        </w:rPr>
        <w:t xml:space="preserve">AI-Powered Fraud Detection for Digital Payments</w:t>
      </w:r>
    </w:p>
    <w:p>
      <w:pPr>
        <w:spacing w:after="800"/>
        <w:jc w:val="center"/>
      </w:pPr>
      <w:r>
        <w:rPr>
          <w:i/>
          <w:iCs/>
          <w:color w:val="444444"/>
          <w:sz w:val="26"/>
          <w:szCs w:val="26"/>
        </w:rPr>
        <w:t xml:space="preserve">A Machine Learning Approach Modelled on PhonePe's Transaction Risk Environment</w:t>
      </w:r>
    </w:p>
    <w:p>
      <w:pPr>
        <w:spacing w:after="100"/>
        <w:jc w:val="center"/>
      </w:pPr>
      <w:r>
        <w:rPr>
          <w:b/>
          <w:bCs/>
          <w:sz w:val="22"/>
          <w:szCs w:val="22"/>
        </w:rPr>
        <w:t xml:space="preserve">Prepared by: Ayushi, Angel, Arshita, Arpita, Ankita, Aniketa, Anchit</w:t>
      </w:r>
    </w:p>
    <w:p>
      <w:pPr>
        <w:spacing w:after="60"/>
        <w:jc w:val="center"/>
      </w:pPr>
      <w:r>
        <w:rPr>
          <w:sz w:val="22"/>
          <w:szCs w:val="22"/>
        </w:rPr>
        <w:t xml:space="preserve">Course: BBA FinTech &amp; AI</w:t>
      </w:r>
    </w:p>
    <w:p>
      <w:pPr>
        <w:spacing w:after="900"/>
        <w:jc w:val="center"/>
      </w:pPr>
      <w:r>
        <w:rPr>
          <w:sz w:val="22"/>
          <w:szCs w:val="22"/>
        </w:rPr>
        <w:t xml:space="preserve">Focus Company: PhonePe   |   Industry: FinTech / Digital Payments</w:t>
      </w:r>
    </w:p>
    <w:p>
      <w:pPr>
        <w:jc w:val="center"/>
      </w:pPr>
      <w:r>
        <w:rPr>
          <w:i/>
          <w:iCs/>
          <w:color w:val="808080"/>
          <w:sz w:val="18"/>
          <w:szCs w:val="18"/>
        </w:rPr>
        <w:t xml:space="preserve">Academic Disclaimer: This is a student project built on a synthetic, illustrative dataset. It is not affiliated with, endorsed by, or built on proprietary data from PhonePe. It does not represent PhonePe's actual fraud-detection system.</w:t>
      </w:r>
    </w:p>
    <w:p>
      <w:r>
        <w:br w:type="page"/>
      </w:r>
    </w:p>
    <w:p>
      <w:pPr>
        <w:pStyle w:val="Heading1"/>
        <w:pBdr>
          <w:bottom w:val="single" w:color="1F3864" w:sz="6" w:space="4"/>
        </w:pBdr>
        <w:spacing w:after="160" w:before="360"/>
      </w:pPr>
      <w:r>
        <w:rPr>
          <w:b/>
          <w:bCs/>
          <w:color w:val="1F3864"/>
          <w:sz w:val="30"/>
          <w:szCs w:val="30"/>
        </w:rPr>
        <w:t xml:space="preserve">Executive Summary</w:t>
      </w:r>
    </w:p>
    <w:p>
      <w:pPr>
        <w:spacing w:after="160" w:line="276"/>
      </w:pPr>
      <w:r>
        <w:rPr>
          <w:b w:val="false"/>
          <w:bCs w:val="false"/>
          <w:i w:val="false"/>
          <w:iCs w:val="false"/>
          <w:sz w:val="22"/>
          <w:szCs w:val="22"/>
        </w:rPr>
        <w:t xml:space="preserve">Digital payment platforms such as PhonePe process an extremely high volume of transactions every day, which makes them an attractive target for fraud through phishing, identity theft, compromised devices, and social engineering. This case study presents a machine-learning-based approach to flagging potentially fraudulent transactions in real time, allowing genuine transactions to pass through smoothly while suspicious ones are verified or blocked.</w:t>
      </w:r>
    </w:p>
    <w:p>
      <w:pPr>
        <w:spacing w:after="160" w:line="276"/>
      </w:pPr>
      <w:r>
        <w:rPr>
          <w:b w:val="false"/>
          <w:bCs w:val="false"/>
          <w:i w:val="false"/>
          <w:iCs w:val="false"/>
          <w:sz w:val="22"/>
          <w:szCs w:val="22"/>
        </w:rPr>
        <w:t xml:space="preserve">A Random Forest classification model was trained on a synthetic, academically generated dataset of 10,000 transactions, engineered to reflect realistic fraud-risk factors such as transaction amount, transaction frequency, device and location changes, failed login attempts, and account history. The trained model achieved an accuracy of 80.1% and an ROC-AUC score of 0.81 on unseen test data, and it was used to build a three-tier risk-scoring system (Low / Medium / High risk) that mirrors how a real payments platform might triage transactions for approval, verification, or investigation.</w:t>
      </w:r>
    </w:p>
    <w:p>
      <w:pPr>
        <w:spacing w:after="160" w:line="276"/>
      </w:pPr>
      <w:r>
        <w:rPr>
          <w:b w:val="false"/>
          <w:bCs w:val="false"/>
          <w:i w:val="false"/>
          <w:iCs w:val="false"/>
          <w:sz w:val="22"/>
          <w:szCs w:val="22"/>
        </w:rPr>
        <w:t xml:space="preserve">This document walks through the business problem, methodology, dataset, model results, and key findings, and closes with recommendations and limitations relevant to deploying such a system in a production fintech environment.</w:t>
      </w:r>
    </w:p>
    <w:p>
      <w:pPr>
        <w:pStyle w:val="Heading1"/>
        <w:pBdr>
          <w:bottom w:val="single" w:color="1F3864" w:sz="6" w:space="4"/>
        </w:pBdr>
        <w:spacing w:after="160" w:before="360"/>
      </w:pPr>
      <w:r>
        <w:rPr>
          <w:b/>
          <w:bCs/>
          <w:color w:val="1F3864"/>
          <w:sz w:val="30"/>
          <w:szCs w:val="30"/>
        </w:rPr>
        <w:t xml:space="preserve">1. Business Problem</w:t>
      </w:r>
    </w:p>
    <w:p>
      <w:pPr>
        <w:spacing w:after="160" w:line="276"/>
      </w:pPr>
      <w:r>
        <w:rPr>
          <w:b w:val="false"/>
          <w:bCs w:val="false"/>
          <w:i w:val="false"/>
          <w:iCs w:val="false"/>
          <w:sz w:val="22"/>
          <w:szCs w:val="22"/>
        </w:rPr>
        <w:t xml:space="preserve">As digital payment adoption grows, so does the volume and sophistication of fraudulent activity on these platforms. Fraud can take many forms — phishing, identity theft, fraudulent accounts, suspicious beneficiaries, unauthorized transactions, compromised or malicious devices, and general misuse of the payment system.</w:t>
      </w:r>
    </w:p>
    <w:p>
      <w:pPr>
        <w:pStyle w:val="Heading2"/>
        <w:spacing w:after="120" w:before="260"/>
      </w:pPr>
      <w:r>
        <w:rPr>
          <w:b/>
          <w:bCs/>
          <w:color w:val="2E74B5"/>
          <w:sz w:val="24"/>
          <w:szCs w:val="24"/>
        </w:rPr>
        <w:t xml:space="preserve">Core Business Question</w:t>
      </w:r>
    </w:p>
    <w:p>
      <w:pPr>
        <w:spacing w:after="160" w:line="276"/>
      </w:pPr>
      <w:r>
        <w:rPr>
          <w:b/>
          <w:bCs/>
          <w:i/>
          <w:iCs/>
          <w:sz w:val="22"/>
          <w:szCs w:val="22"/>
        </w:rPr>
        <w:t xml:space="preserve">How can a digital payment platform identify potentially fraudulent transactions while still allowing genuine customers to complete their payments smoothly and without unnecessary friction?</w:t>
      </w:r>
    </w:p>
    <w:p>
      <w:pPr>
        <w:spacing w:after="160" w:line="276"/>
      </w:pPr>
      <w:r>
        <w:rPr>
          <w:b w:val="false"/>
          <w:bCs w:val="false"/>
          <w:i w:val="false"/>
          <w:iCs w:val="false"/>
          <w:sz w:val="22"/>
          <w:szCs w:val="22"/>
        </w:rPr>
        <w:t xml:space="preserve">The challenge lies in correctly distinguishing between three categories of transactions:</w:t>
      </w:r>
    </w:p>
    <w:p>
      <w:pPr>
        <w:pStyle w:val="ListParagraph"/>
        <w:numPr>
          <w:ilvl w:val="0"/>
          <w:numId w:val="2"/>
        </w:numPr>
        <w:spacing w:after="80"/>
      </w:pPr>
      <w:r>
        <w:rPr>
          <w:sz w:val="22"/>
          <w:szCs w:val="22"/>
        </w:rPr>
        <w:t xml:space="preserve">Genuine transactions — should be approved instantly with no friction.</w:t>
      </w:r>
    </w:p>
    <w:p>
      <w:pPr>
        <w:pStyle w:val="ListParagraph"/>
        <w:numPr>
          <w:ilvl w:val="0"/>
          <w:numId w:val="2"/>
        </w:numPr>
        <w:spacing w:after="80"/>
      </w:pPr>
      <w:r>
        <w:rPr>
          <w:sz w:val="22"/>
          <w:szCs w:val="22"/>
        </w:rPr>
        <w:t xml:space="preserve">Suspicious transactions — should be flagged for additional verification.</w:t>
      </w:r>
    </w:p>
    <w:p>
      <w:pPr>
        <w:pStyle w:val="ListParagraph"/>
        <w:numPr>
          <w:ilvl w:val="0"/>
          <w:numId w:val="2"/>
        </w:numPr>
        <w:spacing w:after="80"/>
      </w:pPr>
      <w:r>
        <w:rPr>
          <w:sz w:val="22"/>
          <w:szCs w:val="22"/>
        </w:rPr>
        <w:t xml:space="preserve">Potentially fraudulent transactions — should be blocked or escalated for investigation.</w:t>
      </w:r>
    </w:p>
    <w:p>
      <w:pPr>
        <w:spacing w:after="160" w:line="276"/>
      </w:pPr>
      <w:r>
        <w:rPr>
          <w:b w:val="false"/>
          <w:bCs w:val="false"/>
          <w:i w:val="false"/>
          <w:iCs w:val="false"/>
          <w:sz w:val="22"/>
          <w:szCs w:val="22"/>
        </w:rPr>
        <w:t xml:space="preserve">An effective fraud-detection system needs to analyse transaction patterns and behavioural signals to produce a fast, data-driven risk assessment, so that the right action — approve, verify, or block — can be taken automatically and at scale.</w:t>
      </w:r>
    </w:p>
    <w:p>
      <w:pPr>
        <w:pStyle w:val="Heading2"/>
        <w:spacing w:after="120" w:before="260"/>
      </w:pPr>
      <w:r>
        <w:rPr>
          <w:b/>
          <w:bCs/>
          <w:color w:val="2E74B5"/>
          <w:sz w:val="24"/>
          <w:szCs w:val="24"/>
        </w:rPr>
        <w:t xml:space="preserve">Risk-Based Action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3864" w:val="clear"/>
            <w:tcMar>
              <w:top w:type="dxa" w:w="80"/>
              <w:left w:type="dxa" w:w="100"/>
              <w:bottom w:type="dxa" w:w="80"/>
              <w:right w:type="dxa" w:w="100"/>
            </w:tcMar>
            <w:vAlign w:val="center"/>
          </w:tcPr>
          <w:p>
            <w:r>
              <w:rPr>
                <w:b/>
                <w:bCs/>
                <w:color w:val="FFFFFF"/>
                <w:sz w:val="20"/>
                <w:szCs w:val="20"/>
              </w:rPr>
              <w:t xml:space="preserve">Risk Level</w:t>
            </w:r>
          </w:p>
        </w:tc>
        <w:tc>
          <w:tcPr>
            <w:tcW w:type="dxa" w:w="6552"/>
            <w:shd w:fill="1F3864" w:val="clear"/>
            <w:tcMar>
              <w:top w:type="dxa" w:w="80"/>
              <w:left w:type="dxa" w:w="100"/>
              <w:bottom w:type="dxa" w:w="80"/>
              <w:right w:type="dxa" w:w="100"/>
            </w:tcMar>
            <w:vAlign w:val="center"/>
          </w:tcPr>
          <w:p>
            <w:r>
              <w:rPr>
                <w:b/>
                <w:bCs/>
                <w:color w:val="FFFFFF"/>
                <w:sz w:val="20"/>
                <w:szCs w:val="20"/>
              </w:rPr>
              <w:t xml:space="preserve">Possible Action</w:t>
            </w:r>
          </w:p>
        </w:tc>
      </w:tr>
      <w:tr>
        <w:tc>
          <w:tcPr>
            <w:tcW w:type="dxa" w:w="2808"/>
            <w:tcMar>
              <w:top w:type="dxa" w:w="80"/>
              <w:left w:type="dxa" w:w="100"/>
              <w:bottom w:type="dxa" w:w="80"/>
              <w:right w:type="dxa" w:w="100"/>
            </w:tcMar>
            <w:vAlign w:val="center"/>
          </w:tcPr>
          <w:p>
            <w:r>
              <w:rPr>
                <w:b w:val="false"/>
                <w:bCs w:val="false"/>
                <w:color w:val="000000"/>
                <w:sz w:val="20"/>
                <w:szCs w:val="20"/>
              </w:rPr>
              <w:t xml:space="preserve">Low Risk</w:t>
            </w:r>
          </w:p>
        </w:tc>
        <w:tc>
          <w:tcPr>
            <w:tcW w:type="dxa" w:w="6552"/>
            <w:tcMar>
              <w:top w:type="dxa" w:w="80"/>
              <w:left w:type="dxa" w:w="100"/>
              <w:bottom w:type="dxa" w:w="80"/>
              <w:right w:type="dxa" w:w="100"/>
            </w:tcMar>
            <w:vAlign w:val="center"/>
          </w:tcPr>
          <w:p>
            <w:r>
              <w:rPr>
                <w:b w:val="false"/>
                <w:bCs w:val="false"/>
                <w:color w:val="000000"/>
                <w:sz w:val="20"/>
                <w:szCs w:val="20"/>
              </w:rPr>
              <w:t xml:space="preserve">Approve transaction automatically</w:t>
            </w:r>
          </w:p>
        </w:tc>
      </w:tr>
      <w:tr>
        <w:tc>
          <w:tcPr>
            <w:tcW w:type="dxa" w:w="2808"/>
            <w:shd w:fill="F2F6FA" w:val="clear"/>
            <w:tcMar>
              <w:top w:type="dxa" w:w="80"/>
              <w:left w:type="dxa" w:w="100"/>
              <w:bottom w:type="dxa" w:w="80"/>
              <w:right w:type="dxa" w:w="100"/>
            </w:tcMar>
            <w:vAlign w:val="center"/>
          </w:tcPr>
          <w:p>
            <w:r>
              <w:rPr>
                <w:b w:val="false"/>
                <w:bCs w:val="false"/>
                <w:color w:val="000000"/>
                <w:sz w:val="20"/>
                <w:szCs w:val="20"/>
              </w:rPr>
              <w:t xml:space="preserve">Medium Risk</w:t>
            </w:r>
          </w:p>
        </w:tc>
        <w:tc>
          <w:tcPr>
            <w:tcW w:type="dxa" w:w="6552"/>
            <w:shd w:fill="F2F6FA" w:val="clear"/>
            <w:tcMar>
              <w:top w:type="dxa" w:w="80"/>
              <w:left w:type="dxa" w:w="100"/>
              <w:bottom w:type="dxa" w:w="80"/>
              <w:right w:type="dxa" w:w="100"/>
            </w:tcMar>
            <w:vAlign w:val="center"/>
          </w:tcPr>
          <w:p>
            <w:r>
              <w:rPr>
                <w:b w:val="false"/>
                <w:bCs w:val="false"/>
                <w:color w:val="000000"/>
                <w:sz w:val="20"/>
                <w:szCs w:val="20"/>
              </w:rPr>
              <w:t xml:space="preserve">Warn the customer / request additional verification</w:t>
            </w:r>
          </w:p>
        </w:tc>
      </w:tr>
      <w:tr>
        <w:tc>
          <w:tcPr>
            <w:tcW w:type="dxa" w:w="2808"/>
            <w:tcMar>
              <w:top w:type="dxa" w:w="80"/>
              <w:left w:type="dxa" w:w="100"/>
              <w:bottom w:type="dxa" w:w="80"/>
              <w:right w:type="dxa" w:w="100"/>
            </w:tcMar>
            <w:vAlign w:val="center"/>
          </w:tcPr>
          <w:p>
            <w:r>
              <w:rPr>
                <w:b w:val="false"/>
                <w:bCs w:val="false"/>
                <w:color w:val="000000"/>
                <w:sz w:val="20"/>
                <w:szCs w:val="20"/>
              </w:rPr>
              <w:t xml:space="preserve">High Risk</w:t>
            </w:r>
          </w:p>
        </w:tc>
        <w:tc>
          <w:tcPr>
            <w:tcW w:type="dxa" w:w="6552"/>
            <w:tcMar>
              <w:top w:type="dxa" w:w="80"/>
              <w:left w:type="dxa" w:w="100"/>
              <w:bottom w:type="dxa" w:w="80"/>
              <w:right w:type="dxa" w:w="100"/>
            </w:tcMar>
            <w:vAlign w:val="center"/>
          </w:tcPr>
          <w:p>
            <w:r>
              <w:rPr>
                <w:b w:val="false"/>
                <w:bCs w:val="false"/>
                <w:color w:val="000000"/>
                <w:sz w:val="20"/>
                <w:szCs w:val="20"/>
              </w:rPr>
              <w:t xml:space="preserve">Block the transaction / escalate for investigation</w:t>
            </w:r>
          </w:p>
        </w:tc>
      </w:tr>
    </w:tbl>
    <w:p>
      <w:pPr>
        <w:spacing w:after="120"/>
      </w:pPr>
    </w:p>
    <w:p>
      <w:pPr>
        <w:spacing w:after="160" w:line="276"/>
      </w:pPr>
      <w:r>
        <w:rPr>
          <w:b w:val="false"/>
          <w:bCs w:val="false"/>
          <w:i/>
          <w:iCs/>
          <w:sz w:val="22"/>
          <w:szCs w:val="22"/>
        </w:rPr>
        <w:t xml:space="preserve">Note: The exact risk-scoring formula and decisioning logic used internally by PhonePe are proprietary and not publicly available. This project therefore uses an academic, illustrative representation of a comparable fraud-detection process.</w:t>
      </w:r>
    </w:p>
    <w:p>
      <w:pPr>
        <w:pStyle w:val="Heading1"/>
        <w:pBdr>
          <w:bottom w:val="single" w:color="1F3864" w:sz="6" w:space="4"/>
        </w:pBdr>
        <w:spacing w:after="160" w:before="360"/>
      </w:pPr>
      <w:r>
        <w:rPr>
          <w:b/>
          <w:bCs/>
          <w:color w:val="1F3864"/>
          <w:sz w:val="30"/>
          <w:szCs w:val="30"/>
        </w:rPr>
        <w:t xml:space="preserve">2. Project Objectives</w:t>
      </w:r>
    </w:p>
    <w:p>
      <w:pPr>
        <w:pStyle w:val="ListParagraph"/>
        <w:numPr>
          <w:ilvl w:val="0"/>
          <w:numId w:val="2"/>
        </w:numPr>
        <w:spacing w:after="80"/>
      </w:pPr>
      <w:r>
        <w:rPr>
          <w:sz w:val="22"/>
          <w:szCs w:val="22"/>
        </w:rPr>
        <w:t xml:space="preserve">Detect potentially fraudulent digital-payment transactions using Machine Learning.</w:t>
      </w:r>
    </w:p>
    <w:p>
      <w:pPr>
        <w:pStyle w:val="ListParagraph"/>
        <w:numPr>
          <w:ilvl w:val="0"/>
          <w:numId w:val="2"/>
        </w:numPr>
        <w:spacing w:after="80"/>
      </w:pPr>
      <w:r>
        <w:rPr>
          <w:sz w:val="22"/>
          <w:szCs w:val="22"/>
        </w:rPr>
        <w:t xml:space="preserve">Explore and understand the transaction-level features that are associated with fraud risk.</w:t>
      </w:r>
    </w:p>
    <w:p>
      <w:pPr>
        <w:pStyle w:val="ListParagraph"/>
        <w:numPr>
          <w:ilvl w:val="0"/>
          <w:numId w:val="2"/>
        </w:numPr>
        <w:spacing w:after="80"/>
      </w:pPr>
      <w:r>
        <w:rPr>
          <w:sz w:val="22"/>
          <w:szCs w:val="22"/>
        </w:rPr>
        <w:t xml:space="preserve">Build and train a supervised ML classification model on transaction data.</w:t>
      </w:r>
    </w:p>
    <w:p>
      <w:pPr>
        <w:pStyle w:val="ListParagraph"/>
        <w:numPr>
          <w:ilvl w:val="0"/>
          <w:numId w:val="2"/>
        </w:numPr>
        <w:spacing w:after="80"/>
      </w:pPr>
      <w:r>
        <w:rPr>
          <w:sz w:val="22"/>
          <w:szCs w:val="22"/>
        </w:rPr>
        <w:t xml:space="preserve">Evaluate the model's performance using appropriate classification metrics.</w:t>
      </w:r>
    </w:p>
    <w:p>
      <w:pPr>
        <w:pStyle w:val="ListParagraph"/>
        <w:numPr>
          <w:ilvl w:val="0"/>
          <w:numId w:val="2"/>
        </w:numPr>
        <w:spacing w:after="80"/>
      </w:pPr>
      <w:r>
        <w:rPr>
          <w:sz w:val="22"/>
          <w:szCs w:val="22"/>
        </w:rPr>
        <w:t xml:space="preserve">Translate model output into a practical, three-tier risk-decision framework.</w:t>
      </w:r>
    </w:p>
    <w:p>
      <w:pPr>
        <w:pStyle w:val="ListParagraph"/>
        <w:numPr>
          <w:ilvl w:val="0"/>
          <w:numId w:val="2"/>
        </w:numPr>
        <w:spacing w:after="80"/>
      </w:pPr>
      <w:r>
        <w:rPr>
          <w:sz w:val="22"/>
          <w:szCs w:val="22"/>
        </w:rPr>
        <w:t xml:space="preserve">Understand how AI/ML can realistically support real-time fraud detection at a digital payments company.</w:t>
      </w:r>
    </w:p>
    <w:p>
      <w:pPr>
        <w:pStyle w:val="Heading1"/>
        <w:pBdr>
          <w:bottom w:val="single" w:color="1F3864" w:sz="6" w:space="4"/>
        </w:pBdr>
        <w:spacing w:after="160" w:before="360"/>
      </w:pPr>
      <w:r>
        <w:rPr>
          <w:b/>
          <w:bCs/>
          <w:color w:val="1F3864"/>
          <w:sz w:val="30"/>
          <w:szCs w:val="30"/>
        </w:rPr>
        <w:t xml:space="preserve">3. Dataset</w:t>
      </w:r>
    </w:p>
    <w:p>
      <w:pPr>
        <w:spacing w:after="160" w:line="276"/>
      </w:pPr>
      <w:r>
        <w:rPr>
          <w:b w:val="false"/>
          <w:bCs w:val="false"/>
          <w:i w:val="false"/>
          <w:iCs w:val="false"/>
          <w:sz w:val="22"/>
          <w:szCs w:val="22"/>
        </w:rPr>
        <w:t xml:space="preserve">Since proprietary PhonePe transaction data is not publicly available, a synthetic dataset of 10,000 transactions was programmatically generated for this project, designed to reflect realistic fraud-risk relationships. This dataset is for academic demonstration only and does not represent real PhonePe user data.</w:t>
      </w:r>
    </w:p>
    <w:p>
      <w:pPr>
        <w:pStyle w:val="Heading2"/>
        <w:spacing w:after="120" w:before="260"/>
      </w:pPr>
      <w:r>
        <w:rPr>
          <w:b/>
          <w:bCs/>
          <w:color w:val="2E74B5"/>
          <w:sz w:val="24"/>
          <w:szCs w:val="24"/>
        </w:rPr>
        <w:t xml:space="preserve">Dataset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1F3864" w:val="clear"/>
            <w:tcMar>
              <w:top w:type="dxa" w:w="80"/>
              <w:left w:type="dxa" w:w="100"/>
              <w:bottom w:type="dxa" w:w="80"/>
              <w:right w:type="dxa" w:w="100"/>
            </w:tcMar>
            <w:vAlign w:val="center"/>
          </w:tcPr>
          <w:p>
            <w:r>
              <w:rPr>
                <w:b/>
                <w:bCs/>
                <w:color w:val="FFFFFF"/>
                <w:sz w:val="20"/>
                <w:szCs w:val="20"/>
              </w:rPr>
              <w:t xml:space="preserve">Feature</w:t>
            </w:r>
          </w:p>
        </w:tc>
        <w:tc>
          <w:tcPr>
            <w:tcW w:type="dxa" w:w="6365"/>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995"/>
            <w:tcMar>
              <w:top w:type="dxa" w:w="80"/>
              <w:left w:type="dxa" w:w="100"/>
              <w:bottom w:type="dxa" w:w="80"/>
              <w:right w:type="dxa" w:w="100"/>
            </w:tcMar>
            <w:vAlign w:val="center"/>
          </w:tcPr>
          <w:p>
            <w:r>
              <w:rPr>
                <w:b w:val="false"/>
                <w:bCs w:val="false"/>
                <w:color w:val="000000"/>
                <w:sz w:val="20"/>
                <w:szCs w:val="20"/>
              </w:rPr>
              <w:t xml:space="preserve">transaction_amount</w:t>
            </w:r>
          </w:p>
        </w:tc>
        <w:tc>
          <w:tcPr>
            <w:tcW w:type="dxa" w:w="6365"/>
            <w:tcMar>
              <w:top w:type="dxa" w:w="80"/>
              <w:left w:type="dxa" w:w="100"/>
              <w:bottom w:type="dxa" w:w="80"/>
              <w:right w:type="dxa" w:w="100"/>
            </w:tcMar>
            <w:vAlign w:val="center"/>
          </w:tcPr>
          <w:p>
            <w:r>
              <w:rPr>
                <w:b w:val="false"/>
                <w:bCs w:val="false"/>
                <w:color w:val="000000"/>
                <w:sz w:val="20"/>
                <w:szCs w:val="20"/>
              </w:rPr>
              <w:t xml:space="preserve">Value of the transaction (₹), modelled with an exponential distribution typical of payment amounts</w:t>
            </w:r>
          </w:p>
        </w:tc>
      </w:tr>
      <w:tr>
        <w:tc>
          <w:tcPr>
            <w:tcW w:type="dxa" w:w="2995"/>
            <w:shd w:fill="F2F6FA" w:val="clear"/>
            <w:tcMar>
              <w:top w:type="dxa" w:w="80"/>
              <w:left w:type="dxa" w:w="100"/>
              <w:bottom w:type="dxa" w:w="80"/>
              <w:right w:type="dxa" w:w="100"/>
            </w:tcMar>
            <w:vAlign w:val="center"/>
          </w:tcPr>
          <w:p>
            <w:r>
              <w:rPr>
                <w:b w:val="false"/>
                <w:bCs w:val="false"/>
                <w:color w:val="000000"/>
                <w:sz w:val="20"/>
                <w:szCs w:val="20"/>
              </w:rPr>
              <w:t xml:space="preserve">transactions_last_24h</w:t>
            </w:r>
          </w:p>
        </w:tc>
        <w:tc>
          <w:tcPr>
            <w:tcW w:type="dxa" w:w="6365"/>
            <w:shd w:fill="F2F6FA" w:val="clear"/>
            <w:tcMar>
              <w:top w:type="dxa" w:w="80"/>
              <w:left w:type="dxa" w:w="100"/>
              <w:bottom w:type="dxa" w:w="80"/>
              <w:right w:type="dxa" w:w="100"/>
            </w:tcMar>
            <w:vAlign w:val="center"/>
          </w:tcPr>
          <w:p>
            <w:r>
              <w:rPr>
                <w:b w:val="false"/>
                <w:bCs w:val="false"/>
                <w:color w:val="000000"/>
                <w:sz w:val="20"/>
                <w:szCs w:val="20"/>
              </w:rPr>
              <w:t xml:space="preserve">Number of transactions made by the account in the past 24 hours</w:t>
            </w:r>
          </w:p>
        </w:tc>
      </w:tr>
      <w:tr>
        <w:tc>
          <w:tcPr>
            <w:tcW w:type="dxa" w:w="2995"/>
            <w:tcMar>
              <w:top w:type="dxa" w:w="80"/>
              <w:left w:type="dxa" w:w="100"/>
              <w:bottom w:type="dxa" w:w="80"/>
              <w:right w:type="dxa" w:w="100"/>
            </w:tcMar>
            <w:vAlign w:val="center"/>
          </w:tcPr>
          <w:p>
            <w:r>
              <w:rPr>
                <w:b w:val="false"/>
                <w:bCs w:val="false"/>
                <w:color w:val="000000"/>
                <w:sz w:val="20"/>
                <w:szCs w:val="20"/>
              </w:rPr>
              <w:t xml:space="preserve">account_age_days</w:t>
            </w:r>
          </w:p>
        </w:tc>
        <w:tc>
          <w:tcPr>
            <w:tcW w:type="dxa" w:w="6365"/>
            <w:tcMar>
              <w:top w:type="dxa" w:w="80"/>
              <w:left w:type="dxa" w:w="100"/>
              <w:bottom w:type="dxa" w:w="80"/>
              <w:right w:type="dxa" w:w="100"/>
            </w:tcMar>
            <w:vAlign w:val="center"/>
          </w:tcPr>
          <w:p>
            <w:r>
              <w:rPr>
                <w:b w:val="false"/>
                <w:bCs w:val="false"/>
                <w:color w:val="000000"/>
                <w:sz w:val="20"/>
                <w:szCs w:val="20"/>
              </w:rPr>
              <w:t xml:space="preserve">Age of the user's account in days (newer accounts carry higher risk)</w:t>
            </w:r>
          </w:p>
        </w:tc>
      </w:tr>
      <w:tr>
        <w:tc>
          <w:tcPr>
            <w:tcW w:type="dxa" w:w="2995"/>
            <w:shd w:fill="F2F6FA" w:val="clear"/>
            <w:tcMar>
              <w:top w:type="dxa" w:w="80"/>
              <w:left w:type="dxa" w:w="100"/>
              <w:bottom w:type="dxa" w:w="80"/>
              <w:right w:type="dxa" w:w="100"/>
            </w:tcMar>
            <w:vAlign w:val="center"/>
          </w:tcPr>
          <w:p>
            <w:r>
              <w:rPr>
                <w:b w:val="false"/>
                <w:bCs w:val="false"/>
                <w:color w:val="000000"/>
                <w:sz w:val="20"/>
                <w:szCs w:val="20"/>
              </w:rPr>
              <w:t xml:space="preserve">new_device</w:t>
            </w:r>
          </w:p>
        </w:tc>
        <w:tc>
          <w:tcPr>
            <w:tcW w:type="dxa" w:w="6365"/>
            <w:shd w:fill="F2F6FA" w:val="clear"/>
            <w:tcMar>
              <w:top w:type="dxa" w:w="80"/>
              <w:left w:type="dxa" w:w="100"/>
              <w:bottom w:type="dxa" w:w="80"/>
              <w:right w:type="dxa" w:w="100"/>
            </w:tcMar>
            <w:vAlign w:val="center"/>
          </w:tcPr>
          <w:p>
            <w:r>
              <w:rPr>
                <w:b w:val="false"/>
                <w:bCs w:val="false"/>
                <w:color w:val="000000"/>
                <w:sz w:val="20"/>
                <w:szCs w:val="20"/>
              </w:rPr>
              <w:t xml:space="preserve">Whether the transaction originated from a device not previously used (1 = yes)</w:t>
            </w:r>
          </w:p>
        </w:tc>
      </w:tr>
      <w:tr>
        <w:tc>
          <w:tcPr>
            <w:tcW w:type="dxa" w:w="2995"/>
            <w:tcMar>
              <w:top w:type="dxa" w:w="80"/>
              <w:left w:type="dxa" w:w="100"/>
              <w:bottom w:type="dxa" w:w="80"/>
              <w:right w:type="dxa" w:w="100"/>
            </w:tcMar>
            <w:vAlign w:val="center"/>
          </w:tcPr>
          <w:p>
            <w:r>
              <w:rPr>
                <w:b w:val="false"/>
                <w:bCs w:val="false"/>
                <w:color w:val="000000"/>
                <w:sz w:val="20"/>
                <w:szCs w:val="20"/>
              </w:rPr>
              <w:t xml:space="preserve">new_recipient</w:t>
            </w:r>
          </w:p>
        </w:tc>
        <w:tc>
          <w:tcPr>
            <w:tcW w:type="dxa" w:w="6365"/>
            <w:tcMar>
              <w:top w:type="dxa" w:w="80"/>
              <w:left w:type="dxa" w:w="100"/>
              <w:bottom w:type="dxa" w:w="80"/>
              <w:right w:type="dxa" w:w="100"/>
            </w:tcMar>
            <w:vAlign w:val="center"/>
          </w:tcPr>
          <w:p>
            <w:r>
              <w:rPr>
                <w:b w:val="false"/>
                <w:bCs w:val="false"/>
                <w:color w:val="000000"/>
                <w:sz w:val="20"/>
                <w:szCs w:val="20"/>
              </w:rPr>
              <w:t xml:space="preserve">Whether the payment is being sent to a new/unfamiliar recipient (1 = yes)</w:t>
            </w:r>
          </w:p>
        </w:tc>
      </w:tr>
      <w:tr>
        <w:tc>
          <w:tcPr>
            <w:tcW w:type="dxa" w:w="2995"/>
            <w:shd w:fill="F2F6FA" w:val="clear"/>
            <w:tcMar>
              <w:top w:type="dxa" w:w="80"/>
              <w:left w:type="dxa" w:w="100"/>
              <w:bottom w:type="dxa" w:w="80"/>
              <w:right w:type="dxa" w:w="100"/>
            </w:tcMar>
            <w:vAlign w:val="center"/>
          </w:tcPr>
          <w:p>
            <w:r>
              <w:rPr>
                <w:b w:val="false"/>
                <w:bCs w:val="false"/>
                <w:color w:val="000000"/>
                <w:sz w:val="20"/>
                <w:szCs w:val="20"/>
              </w:rPr>
              <w:t xml:space="preserve">location_change</w:t>
            </w:r>
          </w:p>
        </w:tc>
        <w:tc>
          <w:tcPr>
            <w:tcW w:type="dxa" w:w="6365"/>
            <w:shd w:fill="F2F6FA" w:val="clear"/>
            <w:tcMar>
              <w:top w:type="dxa" w:w="80"/>
              <w:left w:type="dxa" w:w="100"/>
              <w:bottom w:type="dxa" w:w="80"/>
              <w:right w:type="dxa" w:w="100"/>
            </w:tcMar>
            <w:vAlign w:val="center"/>
          </w:tcPr>
          <w:p>
            <w:r>
              <w:rPr>
                <w:b w:val="false"/>
                <w:bCs w:val="false"/>
                <w:color w:val="000000"/>
                <w:sz w:val="20"/>
                <w:szCs w:val="20"/>
              </w:rPr>
              <w:t xml:space="preserve">Whether the transaction location differs from the user's usual location (1 = yes)</w:t>
            </w:r>
          </w:p>
        </w:tc>
      </w:tr>
      <w:tr>
        <w:tc>
          <w:tcPr>
            <w:tcW w:type="dxa" w:w="2995"/>
            <w:tcMar>
              <w:top w:type="dxa" w:w="80"/>
              <w:left w:type="dxa" w:w="100"/>
              <w:bottom w:type="dxa" w:w="80"/>
              <w:right w:type="dxa" w:w="100"/>
            </w:tcMar>
            <w:vAlign w:val="center"/>
          </w:tcPr>
          <w:p>
            <w:r>
              <w:rPr>
                <w:b w:val="false"/>
                <w:bCs w:val="false"/>
                <w:color w:val="000000"/>
                <w:sz w:val="20"/>
                <w:szCs w:val="20"/>
              </w:rPr>
              <w:t xml:space="preserve">failed_attempts</w:t>
            </w:r>
          </w:p>
        </w:tc>
        <w:tc>
          <w:tcPr>
            <w:tcW w:type="dxa" w:w="6365"/>
            <w:tcMar>
              <w:top w:type="dxa" w:w="80"/>
              <w:left w:type="dxa" w:w="100"/>
              <w:bottom w:type="dxa" w:w="80"/>
              <w:right w:type="dxa" w:w="100"/>
            </w:tcMar>
            <w:vAlign w:val="center"/>
          </w:tcPr>
          <w:p>
            <w:r>
              <w:rPr>
                <w:b w:val="false"/>
                <w:bCs w:val="false"/>
                <w:color w:val="000000"/>
                <w:sz w:val="20"/>
                <w:szCs w:val="20"/>
              </w:rPr>
              <w:t xml:space="preserve">Number of failed login/payment attempts prior to this transaction</w:t>
            </w:r>
          </w:p>
        </w:tc>
      </w:tr>
      <w:tr>
        <w:tc>
          <w:tcPr>
            <w:tcW w:type="dxa" w:w="2995"/>
            <w:shd w:fill="F2F6FA" w:val="clear"/>
            <w:tcMar>
              <w:top w:type="dxa" w:w="80"/>
              <w:left w:type="dxa" w:w="100"/>
              <w:bottom w:type="dxa" w:w="80"/>
              <w:right w:type="dxa" w:w="100"/>
            </w:tcMar>
            <w:vAlign w:val="center"/>
          </w:tcPr>
          <w:p>
            <w:r>
              <w:rPr>
                <w:b w:val="false"/>
                <w:bCs w:val="false"/>
                <w:color w:val="000000"/>
                <w:sz w:val="20"/>
                <w:szCs w:val="20"/>
              </w:rPr>
              <w:t xml:space="preserve">night_transaction</w:t>
            </w:r>
          </w:p>
        </w:tc>
        <w:tc>
          <w:tcPr>
            <w:tcW w:type="dxa" w:w="6365"/>
            <w:shd w:fill="F2F6FA" w:val="clear"/>
            <w:tcMar>
              <w:top w:type="dxa" w:w="80"/>
              <w:left w:type="dxa" w:w="100"/>
              <w:bottom w:type="dxa" w:w="80"/>
              <w:right w:type="dxa" w:w="100"/>
            </w:tcMar>
            <w:vAlign w:val="center"/>
          </w:tcPr>
          <w:p>
            <w:r>
              <w:rPr>
                <w:b w:val="false"/>
                <w:bCs w:val="false"/>
                <w:color w:val="000000"/>
                <w:sz w:val="20"/>
                <w:szCs w:val="20"/>
              </w:rPr>
              <w:t xml:space="preserve">Whether the transaction occurred during typical night hours (1 = yes)</w:t>
            </w:r>
          </w:p>
        </w:tc>
      </w:tr>
      <w:tr>
        <w:tc>
          <w:tcPr>
            <w:tcW w:type="dxa" w:w="2995"/>
            <w:tcMar>
              <w:top w:type="dxa" w:w="80"/>
              <w:left w:type="dxa" w:w="100"/>
              <w:bottom w:type="dxa" w:w="80"/>
              <w:right w:type="dxa" w:w="100"/>
            </w:tcMar>
            <w:vAlign w:val="center"/>
          </w:tcPr>
          <w:p>
            <w:r>
              <w:rPr>
                <w:b w:val="false"/>
                <w:bCs w:val="false"/>
                <w:color w:val="000000"/>
                <w:sz w:val="20"/>
                <w:szCs w:val="20"/>
              </w:rPr>
              <w:t xml:space="preserve">previous_fraud_reports</w:t>
            </w:r>
          </w:p>
        </w:tc>
        <w:tc>
          <w:tcPr>
            <w:tcW w:type="dxa" w:w="6365"/>
            <w:tcMar>
              <w:top w:type="dxa" w:w="80"/>
              <w:left w:type="dxa" w:w="100"/>
              <w:bottom w:type="dxa" w:w="80"/>
              <w:right w:type="dxa" w:w="100"/>
            </w:tcMar>
            <w:vAlign w:val="center"/>
          </w:tcPr>
          <w:p>
            <w:r>
              <w:rPr>
                <w:b w:val="false"/>
                <w:bCs w:val="false"/>
                <w:color w:val="000000"/>
                <w:sz w:val="20"/>
                <w:szCs w:val="20"/>
              </w:rPr>
              <w:t xml:space="preserve">Whether the account has any prior fraud reports on record (1 = yes)</w:t>
            </w:r>
          </w:p>
        </w:tc>
      </w:tr>
      <w:tr>
        <w:tc>
          <w:tcPr>
            <w:tcW w:type="dxa" w:w="2995"/>
            <w:shd w:fill="F2F6FA" w:val="clear"/>
            <w:tcMar>
              <w:top w:type="dxa" w:w="80"/>
              <w:left w:type="dxa" w:w="100"/>
              <w:bottom w:type="dxa" w:w="80"/>
              <w:right w:type="dxa" w:w="100"/>
            </w:tcMar>
            <w:vAlign w:val="center"/>
          </w:tcPr>
          <w:p>
            <w:r>
              <w:rPr>
                <w:b w:val="false"/>
                <w:bCs w:val="false"/>
                <w:color w:val="000000"/>
                <w:sz w:val="20"/>
                <w:szCs w:val="20"/>
              </w:rPr>
              <w:t xml:space="preserve">is_fraud (target)</w:t>
            </w:r>
          </w:p>
        </w:tc>
        <w:tc>
          <w:tcPr>
            <w:tcW w:type="dxa" w:w="6365"/>
            <w:shd w:fill="F2F6FA" w:val="clear"/>
            <w:tcMar>
              <w:top w:type="dxa" w:w="80"/>
              <w:left w:type="dxa" w:w="100"/>
              <w:bottom w:type="dxa" w:w="80"/>
              <w:right w:type="dxa" w:w="100"/>
            </w:tcMar>
            <w:vAlign w:val="center"/>
          </w:tcPr>
          <w:p>
            <w:r>
              <w:rPr>
                <w:b w:val="false"/>
                <w:bCs w:val="false"/>
                <w:color w:val="000000"/>
                <w:sz w:val="20"/>
                <w:szCs w:val="20"/>
              </w:rPr>
              <w:t xml:space="preserve">Label indicating whether the transaction is fraudulent (1) or genuine (0)</w:t>
            </w:r>
          </w:p>
        </w:tc>
      </w:tr>
    </w:tbl>
    <w:p>
      <w:pPr>
        <w:spacing w:after="120"/>
      </w:pPr>
    </w:p>
    <w:p>
      <w:pPr>
        <w:pStyle w:val="Heading2"/>
        <w:spacing w:after="120" w:before="260"/>
      </w:pPr>
      <w:r>
        <w:rPr>
          <w:b/>
          <w:bCs/>
          <w:color w:val="2E74B5"/>
          <w:sz w:val="24"/>
          <w:szCs w:val="24"/>
        </w:rPr>
        <w:t xml:space="preserve">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4680"/>
            <w:shd w:fill="1F3864" w:val="clear"/>
            <w:tcMar>
              <w:top w:type="dxa" w:w="80"/>
              <w:left w:type="dxa" w:w="100"/>
              <w:bottom w:type="dxa" w:w="80"/>
              <w:right w:type="dxa" w:w="100"/>
            </w:tcMar>
            <w:vAlign w:val="center"/>
          </w:tcPr>
          <w:p>
            <w:r>
              <w:rPr>
                <w:b/>
                <w:bCs/>
                <w:color w:val="FFFFFF"/>
                <w:sz w:val="20"/>
                <w:szCs w:val="20"/>
              </w:rPr>
              <w:t xml:space="preserve">Value</w:t>
            </w:r>
          </w:p>
        </w:tc>
      </w:tr>
      <w:tr>
        <w:tc>
          <w:tcPr>
            <w:tcW w:type="dxa" w:w="4680"/>
            <w:tcMar>
              <w:top w:type="dxa" w:w="80"/>
              <w:left w:type="dxa" w:w="100"/>
              <w:bottom w:type="dxa" w:w="80"/>
              <w:right w:type="dxa" w:w="100"/>
            </w:tcMar>
            <w:vAlign w:val="center"/>
          </w:tcPr>
          <w:p>
            <w:r>
              <w:rPr>
                <w:b w:val="false"/>
                <w:bCs w:val="false"/>
                <w:color w:val="000000"/>
                <w:sz w:val="20"/>
                <w:szCs w:val="20"/>
              </w:rPr>
              <w:t xml:space="preserve">Total transactions</w:t>
            </w:r>
          </w:p>
        </w:tc>
        <w:tc>
          <w:tcPr>
            <w:tcW w:type="dxa" w:w="4680"/>
            <w:tcMar>
              <w:top w:type="dxa" w:w="80"/>
              <w:left w:type="dxa" w:w="100"/>
              <w:bottom w:type="dxa" w:w="80"/>
              <w:right w:type="dxa" w:w="100"/>
            </w:tcMar>
            <w:vAlign w:val="center"/>
          </w:tcPr>
          <w:p>
            <w:r>
              <w:rPr>
                <w:b w:val="false"/>
                <w:bCs w:val="false"/>
                <w:color w:val="000000"/>
                <w:sz w:val="20"/>
                <w:szCs w:val="20"/>
              </w:rPr>
              <w:t xml:space="preserve">10,000</w:t>
            </w:r>
          </w:p>
        </w:tc>
      </w:tr>
      <w:tr>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Genuine transactions</w:t>
            </w:r>
          </w:p>
        </w:tc>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7,436 (74.36%)</w:t>
            </w:r>
          </w:p>
        </w:tc>
      </w:tr>
      <w:tr>
        <w:tc>
          <w:tcPr>
            <w:tcW w:type="dxa" w:w="4680"/>
            <w:tcMar>
              <w:top w:type="dxa" w:w="80"/>
              <w:left w:type="dxa" w:w="100"/>
              <w:bottom w:type="dxa" w:w="80"/>
              <w:right w:type="dxa" w:w="100"/>
            </w:tcMar>
            <w:vAlign w:val="center"/>
          </w:tcPr>
          <w:p>
            <w:r>
              <w:rPr>
                <w:b w:val="false"/>
                <w:bCs w:val="false"/>
                <w:color w:val="000000"/>
                <w:sz w:val="20"/>
                <w:szCs w:val="20"/>
              </w:rPr>
              <w:t xml:space="preserve">Fraudulent transactions</w:t>
            </w:r>
          </w:p>
        </w:tc>
        <w:tc>
          <w:tcPr>
            <w:tcW w:type="dxa" w:w="4680"/>
            <w:tcMar>
              <w:top w:type="dxa" w:w="80"/>
              <w:left w:type="dxa" w:w="100"/>
              <w:bottom w:type="dxa" w:w="80"/>
              <w:right w:type="dxa" w:w="100"/>
            </w:tcMar>
            <w:vAlign w:val="center"/>
          </w:tcPr>
          <w:p>
            <w:r>
              <w:rPr>
                <w:b w:val="false"/>
                <w:bCs w:val="false"/>
                <w:color w:val="000000"/>
                <w:sz w:val="20"/>
                <w:szCs w:val="20"/>
              </w:rPr>
              <w:t xml:space="preserve">2,564 (25.64%)</w:t>
            </w:r>
          </w:p>
        </w:tc>
      </w:tr>
      <w:tr>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Missing values</w:t>
            </w:r>
          </w:p>
        </w:tc>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None</w:t>
            </w:r>
          </w:p>
        </w:tc>
      </w:tr>
      <w:tr>
        <w:tc>
          <w:tcPr>
            <w:tcW w:type="dxa" w:w="4680"/>
            <w:tcMar>
              <w:top w:type="dxa" w:w="80"/>
              <w:left w:type="dxa" w:w="100"/>
              <w:bottom w:type="dxa" w:w="80"/>
              <w:right w:type="dxa" w:w="100"/>
            </w:tcMar>
            <w:vAlign w:val="center"/>
          </w:tcPr>
          <w:p>
            <w:r>
              <w:rPr>
                <w:b w:val="false"/>
                <w:bCs w:val="false"/>
                <w:color w:val="000000"/>
                <w:sz w:val="20"/>
                <w:szCs w:val="20"/>
              </w:rPr>
              <w:t xml:space="preserve">Duplicate records</w:t>
            </w:r>
          </w:p>
        </w:tc>
        <w:tc>
          <w:tcPr>
            <w:tcW w:type="dxa" w:w="4680"/>
            <w:tcMar>
              <w:top w:type="dxa" w:w="80"/>
              <w:left w:type="dxa" w:w="100"/>
              <w:bottom w:type="dxa" w:w="80"/>
              <w:right w:type="dxa" w:w="100"/>
            </w:tcMar>
            <w:vAlign w:val="center"/>
          </w:tcPr>
          <w:p>
            <w:r>
              <w:rPr>
                <w:b w:val="false"/>
                <w:bCs w:val="false"/>
                <w:color w:val="000000"/>
                <w:sz w:val="20"/>
                <w:szCs w:val="20"/>
              </w:rPr>
              <w:t xml:space="preserve">None</w:t>
            </w:r>
          </w:p>
        </w:tc>
      </w:tr>
    </w:tbl>
    <w:p>
      <w:pPr>
        <w:spacing w:after="60" w:before="120"/>
        <w:jc w:val="center"/>
      </w:pPr>
      <w:r>
        <w:drawing>
          <wp:inline distT="0" distB="0" distL="0" distR="0">
            <wp:extent cx="3619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476500"/>
                    </a:xfrm>
                    <a:prstGeom prst="rect">
                      <a:avLst/>
                    </a:prstGeom>
                  </pic:spPr>
                </pic:pic>
              </a:graphicData>
            </a:graphic>
          </wp:inline>
        </w:drawing>
      </w:r>
    </w:p>
    <w:p>
      <w:pPr>
        <w:spacing w:after="240" w:before="80"/>
        <w:jc w:val="center"/>
      </w:pPr>
      <w:r>
        <w:rPr>
          <w:i/>
          <w:iCs/>
          <w:color w:val="595959"/>
          <w:sz w:val="20"/>
          <w:szCs w:val="20"/>
        </w:rPr>
        <w:t xml:space="preserve">Figure 1: Distribution of genuine vs. fraudulent transactions in the training dataset</w:t>
      </w:r>
    </w:p>
    <w:p>
      <w:pPr>
        <w:pStyle w:val="Heading1"/>
        <w:pBdr>
          <w:bottom w:val="single" w:color="1F3864" w:sz="6" w:space="4"/>
        </w:pBdr>
        <w:spacing w:after="160" w:before="360"/>
      </w:pPr>
      <w:r>
        <w:rPr>
          <w:b/>
          <w:bCs/>
          <w:color w:val="1F3864"/>
          <w:sz w:val="30"/>
          <w:szCs w:val="30"/>
        </w:rPr>
        <w:t xml:space="preserve">4. Data Cleaning &amp; Preprocessing</w:t>
      </w:r>
    </w:p>
    <w:p>
      <w:pPr>
        <w:spacing w:after="160" w:line="276"/>
      </w:pPr>
      <w:r>
        <w:rPr>
          <w:b w:val="false"/>
          <w:bCs w:val="false"/>
          <w:i w:val="false"/>
          <w:iCs w:val="false"/>
          <w:sz w:val="22"/>
          <w:szCs w:val="22"/>
        </w:rPr>
        <w:t xml:space="preserve">Before model training, the dataset was checked for data-quality issues to ensure it was reliable for analysis:</w:t>
      </w:r>
    </w:p>
    <w:p>
      <w:pPr>
        <w:pStyle w:val="ListParagraph"/>
        <w:numPr>
          <w:ilvl w:val="0"/>
          <w:numId w:val="2"/>
        </w:numPr>
        <w:spacing w:after="80"/>
      </w:pPr>
      <w:r>
        <w:rPr>
          <w:sz w:val="22"/>
          <w:szCs w:val="22"/>
        </w:rPr>
        <w:t xml:space="preserve">Missing values: none found across all 10 columns.</w:t>
      </w:r>
    </w:p>
    <w:p>
      <w:pPr>
        <w:pStyle w:val="ListParagraph"/>
        <w:numPr>
          <w:ilvl w:val="0"/>
          <w:numId w:val="2"/>
        </w:numPr>
        <w:spacing w:after="80"/>
      </w:pPr>
      <w:r>
        <w:rPr>
          <w:sz w:val="22"/>
          <w:szCs w:val="22"/>
        </w:rPr>
        <w:t xml:space="preserve">Duplicate records: none found.</w:t>
      </w:r>
    </w:p>
    <w:p>
      <w:pPr>
        <w:pStyle w:val="ListParagraph"/>
        <w:numPr>
          <w:ilvl w:val="0"/>
          <w:numId w:val="2"/>
        </w:numPr>
        <w:spacing w:after="80"/>
      </w:pPr>
      <w:r>
        <w:rPr>
          <w:sz w:val="22"/>
          <w:szCs w:val="22"/>
        </w:rPr>
        <w:t xml:space="preserve">Data types: all numeric (int/float), consistent with model requirements — no encoding needed.</w:t>
      </w:r>
    </w:p>
    <w:p>
      <w:pPr>
        <w:pStyle w:val="ListParagraph"/>
        <w:numPr>
          <w:ilvl w:val="0"/>
          <w:numId w:val="2"/>
        </w:numPr>
        <w:spacing w:after="80"/>
      </w:pPr>
      <w:r>
        <w:rPr>
          <w:sz w:val="22"/>
          <w:szCs w:val="22"/>
        </w:rPr>
        <w:t xml:space="preserve">Basic statistics were reviewed to confirm value ranges were realistic (e.g., no negative amounts or ages).</w:t>
      </w:r>
    </w:p>
    <w:p>
      <w:pPr>
        <w:pStyle w:val="Heading2"/>
        <w:spacing w:after="120" w:before="260"/>
      </w:pPr>
      <w:r>
        <w:rPr>
          <w:b/>
          <w:bCs/>
          <w:color w:val="2E74B5"/>
          <w:sz w:val="24"/>
          <w:szCs w:val="24"/>
        </w:rPr>
        <w:t xml:space="preserve">Preprocessing Steps</w:t>
      </w:r>
    </w:p>
    <w:p>
      <w:pPr>
        <w:pStyle w:val="ListParagraph"/>
        <w:numPr>
          <w:ilvl w:val="0"/>
          <w:numId w:val="2"/>
        </w:numPr>
        <w:spacing w:after="80"/>
      </w:pPr>
      <w:r>
        <w:rPr>
          <w:sz w:val="22"/>
          <w:szCs w:val="22"/>
        </w:rPr>
        <w:t xml:space="preserve">Input features (X) were separated from the target variable (y = is_fraud).</w:t>
      </w:r>
    </w:p>
    <w:p>
      <w:pPr>
        <w:pStyle w:val="ListParagraph"/>
        <w:numPr>
          <w:ilvl w:val="0"/>
          <w:numId w:val="2"/>
        </w:numPr>
        <w:spacing w:after="80"/>
      </w:pPr>
      <w:r>
        <w:rPr>
          <w:sz w:val="22"/>
          <w:szCs w:val="22"/>
        </w:rPr>
        <w:t xml:space="preserve">The dataset was split into training (80%, 8,000 records) and testing (20%, 2,000 records) sets.</w:t>
      </w:r>
    </w:p>
    <w:p>
      <w:pPr>
        <w:pStyle w:val="ListParagraph"/>
        <w:numPr>
          <w:ilvl w:val="0"/>
          <w:numId w:val="2"/>
        </w:numPr>
        <w:spacing w:after="80"/>
      </w:pPr>
      <w:r>
        <w:rPr>
          <w:sz w:val="22"/>
          <w:szCs w:val="22"/>
        </w:rPr>
        <w:t xml:space="preserve">Stratified sampling was used on the split to preserve the same fraud/genuine ratio in both sets.</w:t>
      </w:r>
    </w:p>
    <w:p>
      <w:pPr>
        <w:pStyle w:val="ListParagraph"/>
        <w:numPr>
          <w:ilvl w:val="0"/>
          <w:numId w:val="2"/>
        </w:numPr>
        <w:spacing w:after="80"/>
      </w:pPr>
      <w:r>
        <w:rPr>
          <w:sz w:val="22"/>
          <w:szCs w:val="22"/>
        </w:rPr>
        <w:t xml:space="preserve">A fixed random seed (42) was used throughout to ensure the results are reproducible.</w:t>
      </w:r>
    </w:p>
    <w:p>
      <w:pPr>
        <w:pStyle w:val="Heading1"/>
        <w:pBdr>
          <w:bottom w:val="single" w:color="1F3864" w:sz="6" w:space="4"/>
        </w:pBdr>
        <w:spacing w:after="160" w:before="360"/>
      </w:pPr>
      <w:r>
        <w:rPr>
          <w:b/>
          <w:bCs/>
          <w:color w:val="1F3864"/>
          <w:sz w:val="30"/>
          <w:szCs w:val="30"/>
        </w:rPr>
        <w:t xml:space="preserve">5. Model Building</w:t>
      </w:r>
    </w:p>
    <w:p>
      <w:pPr>
        <w:spacing w:after="160" w:line="276"/>
      </w:pPr>
      <w:r>
        <w:rPr>
          <w:b w:val="false"/>
          <w:bCs w:val="false"/>
          <w:i w:val="false"/>
          <w:iCs w:val="false"/>
          <w:sz w:val="22"/>
          <w:szCs w:val="22"/>
        </w:rPr>
        <w:t xml:space="preserve">A Random Forest Classifier was selected for this task because it handles non-linear relationships well, is robust to outliers, and provides interpretable feature-importance scores — useful for explaining fraud decisions to stakeholders.</w:t>
      </w:r>
    </w:p>
    <w:p>
      <w:pPr>
        <w:pStyle w:val="Heading2"/>
        <w:spacing w:after="120" w:before="260"/>
      </w:pPr>
      <w:r>
        <w:rPr>
          <w:b/>
          <w:bCs/>
          <w:color w:val="2E74B5"/>
          <w:sz w:val="24"/>
          <w:szCs w:val="24"/>
        </w:rPr>
        <w:t xml:space="preserve">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shd w:fill="1F3864" w:val="clear"/>
            <w:tcMar>
              <w:top w:type="dxa" w:w="80"/>
              <w:left w:type="dxa" w:w="100"/>
              <w:bottom w:type="dxa" w:w="80"/>
              <w:right w:type="dxa" w:w="100"/>
            </w:tcMar>
            <w:vAlign w:val="center"/>
          </w:tcPr>
          <w:p>
            <w:r>
              <w:rPr>
                <w:b/>
                <w:bCs/>
                <w:color w:val="FFFFFF"/>
                <w:sz w:val="20"/>
                <w:szCs w:val="20"/>
              </w:rPr>
              <w:t xml:space="preserve">Parameter</w:t>
            </w:r>
          </w:p>
        </w:tc>
        <w:tc>
          <w:tcPr>
            <w:tcW w:type="dxa" w:w="2340"/>
            <w:shd w:fill="1F3864" w:val="clear"/>
            <w:tcMar>
              <w:top w:type="dxa" w:w="80"/>
              <w:left w:type="dxa" w:w="100"/>
              <w:bottom w:type="dxa" w:w="80"/>
              <w:right w:type="dxa" w:w="100"/>
            </w:tcMar>
            <w:vAlign w:val="center"/>
          </w:tcPr>
          <w:p>
            <w:r>
              <w:rPr>
                <w:b/>
                <w:bCs/>
                <w:color w:val="FFFFFF"/>
                <w:sz w:val="20"/>
                <w:szCs w:val="20"/>
              </w:rPr>
              <w:t xml:space="preserve">Value</w:t>
            </w:r>
          </w:p>
        </w:tc>
        <w:tc>
          <w:tcPr>
            <w:tcW w:type="dxa" w:w="468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2340"/>
            <w:tcMar>
              <w:top w:type="dxa" w:w="80"/>
              <w:left w:type="dxa" w:w="100"/>
              <w:bottom w:type="dxa" w:w="80"/>
              <w:right w:type="dxa" w:w="100"/>
            </w:tcMar>
            <w:vAlign w:val="center"/>
          </w:tcPr>
          <w:p>
            <w:r>
              <w:rPr>
                <w:b w:val="false"/>
                <w:bCs w:val="false"/>
                <w:color w:val="000000"/>
                <w:sz w:val="20"/>
                <w:szCs w:val="20"/>
              </w:rPr>
              <w:t xml:space="preserve">Algorithm</w:t>
            </w:r>
          </w:p>
        </w:tc>
        <w:tc>
          <w:tcPr>
            <w:tcW w:type="dxa" w:w="2340"/>
            <w:tcMar>
              <w:top w:type="dxa" w:w="80"/>
              <w:left w:type="dxa" w:w="100"/>
              <w:bottom w:type="dxa" w:w="80"/>
              <w:right w:type="dxa" w:w="100"/>
            </w:tcMar>
            <w:vAlign w:val="center"/>
          </w:tcPr>
          <w:p>
            <w:r>
              <w:rPr>
                <w:b w:val="false"/>
                <w:bCs w:val="false"/>
                <w:color w:val="000000"/>
                <w:sz w:val="20"/>
                <w:szCs w:val="20"/>
              </w:rPr>
              <w:t xml:space="preserve">Random Forest Classifier</w:t>
            </w:r>
          </w:p>
        </w:tc>
        <w:tc>
          <w:tcPr>
            <w:tcW w:type="dxa" w:w="4680"/>
            <w:tcMar>
              <w:top w:type="dxa" w:w="80"/>
              <w:left w:type="dxa" w:w="100"/>
              <w:bottom w:type="dxa" w:w="80"/>
              <w:right w:type="dxa" w:w="100"/>
            </w:tcMar>
            <w:vAlign w:val="center"/>
          </w:tcPr>
          <w:p>
            <w:r>
              <w:rPr>
                <w:b w:val="false"/>
                <w:bCs w:val="false"/>
                <w:color w:val="000000"/>
                <w:sz w:val="20"/>
                <w:szCs w:val="20"/>
              </w:rPr>
              <w:t xml:space="preserve">Ensemble of decision trees for robust classification</w:t>
            </w:r>
          </w:p>
        </w:tc>
      </w:tr>
      <w:tr>
        <w:tc>
          <w:tcPr>
            <w:tcW w:type="dxa" w:w="2340"/>
            <w:shd w:fill="F2F6FA" w:val="clear"/>
            <w:tcMar>
              <w:top w:type="dxa" w:w="80"/>
              <w:left w:type="dxa" w:w="100"/>
              <w:bottom w:type="dxa" w:w="80"/>
              <w:right w:type="dxa" w:w="100"/>
            </w:tcMar>
            <w:vAlign w:val="center"/>
          </w:tcPr>
          <w:p>
            <w:r>
              <w:rPr>
                <w:b w:val="false"/>
                <w:bCs w:val="false"/>
                <w:color w:val="000000"/>
                <w:sz w:val="20"/>
                <w:szCs w:val="20"/>
              </w:rPr>
              <w:t xml:space="preserve">n_estimators</w:t>
            </w:r>
          </w:p>
        </w:tc>
        <w:tc>
          <w:tcPr>
            <w:tcW w:type="dxa" w:w="2340"/>
            <w:shd w:fill="F2F6FA" w:val="clear"/>
            <w:tcMar>
              <w:top w:type="dxa" w:w="80"/>
              <w:left w:type="dxa" w:w="100"/>
              <w:bottom w:type="dxa" w:w="80"/>
              <w:right w:type="dxa" w:w="100"/>
            </w:tcMar>
            <w:vAlign w:val="center"/>
          </w:tcPr>
          <w:p>
            <w:r>
              <w:rPr>
                <w:b w:val="false"/>
                <w:bCs w:val="false"/>
                <w:color w:val="000000"/>
                <w:sz w:val="20"/>
                <w:szCs w:val="20"/>
              </w:rPr>
              <w:t xml:space="preserve">150</w:t>
            </w:r>
          </w:p>
        </w:tc>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Number of trees in the forest</w:t>
            </w:r>
          </w:p>
        </w:tc>
      </w:tr>
      <w:tr>
        <w:tc>
          <w:tcPr>
            <w:tcW w:type="dxa" w:w="2340"/>
            <w:tcMar>
              <w:top w:type="dxa" w:w="80"/>
              <w:left w:type="dxa" w:w="100"/>
              <w:bottom w:type="dxa" w:w="80"/>
              <w:right w:type="dxa" w:w="100"/>
            </w:tcMar>
            <w:vAlign w:val="center"/>
          </w:tcPr>
          <w:p>
            <w:r>
              <w:rPr>
                <w:b w:val="false"/>
                <w:bCs w:val="false"/>
                <w:color w:val="000000"/>
                <w:sz w:val="20"/>
                <w:szCs w:val="20"/>
              </w:rPr>
              <w:t xml:space="preserve">max_depth</w:t>
            </w:r>
          </w:p>
        </w:tc>
        <w:tc>
          <w:tcPr>
            <w:tcW w:type="dxa" w:w="2340"/>
            <w:tcMar>
              <w:top w:type="dxa" w:w="80"/>
              <w:left w:type="dxa" w:w="100"/>
              <w:bottom w:type="dxa" w:w="80"/>
              <w:right w:type="dxa" w:w="100"/>
            </w:tcMar>
            <w:vAlign w:val="center"/>
          </w:tcPr>
          <w:p>
            <w:r>
              <w:rPr>
                <w:b w:val="false"/>
                <w:bCs w:val="false"/>
                <w:color w:val="000000"/>
                <w:sz w:val="20"/>
                <w:szCs w:val="20"/>
              </w:rPr>
              <w:t xml:space="preserve">12</w:t>
            </w:r>
          </w:p>
        </w:tc>
        <w:tc>
          <w:tcPr>
            <w:tcW w:type="dxa" w:w="4680"/>
            <w:tcMar>
              <w:top w:type="dxa" w:w="80"/>
              <w:left w:type="dxa" w:w="100"/>
              <w:bottom w:type="dxa" w:w="80"/>
              <w:right w:type="dxa" w:w="100"/>
            </w:tcMar>
            <w:vAlign w:val="center"/>
          </w:tcPr>
          <w:p>
            <w:r>
              <w:rPr>
                <w:b w:val="false"/>
                <w:bCs w:val="false"/>
                <w:color w:val="000000"/>
                <w:sz w:val="20"/>
                <w:szCs w:val="20"/>
              </w:rPr>
              <w:t xml:space="preserve">Controls tree complexity to reduce overfitting</w:t>
            </w:r>
          </w:p>
        </w:tc>
      </w:tr>
      <w:tr>
        <w:tc>
          <w:tcPr>
            <w:tcW w:type="dxa" w:w="2340"/>
            <w:shd w:fill="F2F6FA" w:val="clear"/>
            <w:tcMar>
              <w:top w:type="dxa" w:w="80"/>
              <w:left w:type="dxa" w:w="100"/>
              <w:bottom w:type="dxa" w:w="80"/>
              <w:right w:type="dxa" w:w="100"/>
            </w:tcMar>
            <w:vAlign w:val="center"/>
          </w:tcPr>
          <w:p>
            <w:r>
              <w:rPr>
                <w:b w:val="false"/>
                <w:bCs w:val="false"/>
                <w:color w:val="000000"/>
                <w:sz w:val="20"/>
                <w:szCs w:val="20"/>
              </w:rPr>
              <w:t xml:space="preserve">class_weight</w:t>
            </w:r>
          </w:p>
        </w:tc>
        <w:tc>
          <w:tcPr>
            <w:tcW w:type="dxa" w:w="2340"/>
            <w:shd w:fill="F2F6FA" w:val="clear"/>
            <w:tcMar>
              <w:top w:type="dxa" w:w="80"/>
              <w:left w:type="dxa" w:w="100"/>
              <w:bottom w:type="dxa" w:w="80"/>
              <w:right w:type="dxa" w:w="100"/>
            </w:tcMar>
            <w:vAlign w:val="center"/>
          </w:tcPr>
          <w:p>
            <w:r>
              <w:rPr>
                <w:b w:val="false"/>
                <w:bCs w:val="false"/>
                <w:color w:val="000000"/>
                <w:sz w:val="20"/>
                <w:szCs w:val="20"/>
              </w:rPr>
              <w:t xml:space="preserve">balanced</w:t>
            </w:r>
          </w:p>
        </w:tc>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Compensates for the fraud class being a minority (~26%)</w:t>
            </w:r>
          </w:p>
        </w:tc>
      </w:tr>
      <w:tr>
        <w:tc>
          <w:tcPr>
            <w:tcW w:type="dxa" w:w="2340"/>
            <w:tcMar>
              <w:top w:type="dxa" w:w="80"/>
              <w:left w:type="dxa" w:w="100"/>
              <w:bottom w:type="dxa" w:w="80"/>
              <w:right w:type="dxa" w:w="100"/>
            </w:tcMar>
            <w:vAlign w:val="center"/>
          </w:tcPr>
          <w:p>
            <w:r>
              <w:rPr>
                <w:b w:val="false"/>
                <w:bCs w:val="false"/>
                <w:color w:val="000000"/>
                <w:sz w:val="20"/>
                <w:szCs w:val="20"/>
              </w:rPr>
              <w:t xml:space="preserve">random_state</w:t>
            </w:r>
          </w:p>
        </w:tc>
        <w:tc>
          <w:tcPr>
            <w:tcW w:type="dxa" w:w="2340"/>
            <w:tcMar>
              <w:top w:type="dxa" w:w="80"/>
              <w:left w:type="dxa" w:w="100"/>
              <w:bottom w:type="dxa" w:w="80"/>
              <w:right w:type="dxa" w:w="100"/>
            </w:tcMar>
            <w:vAlign w:val="center"/>
          </w:tcPr>
          <w:p>
            <w:r>
              <w:rPr>
                <w:b w:val="false"/>
                <w:bCs w:val="false"/>
                <w:color w:val="000000"/>
                <w:sz w:val="20"/>
                <w:szCs w:val="20"/>
              </w:rPr>
              <w:t xml:space="preserve">42</w:t>
            </w:r>
          </w:p>
        </w:tc>
        <w:tc>
          <w:tcPr>
            <w:tcW w:type="dxa" w:w="4680"/>
            <w:tcMar>
              <w:top w:type="dxa" w:w="80"/>
              <w:left w:type="dxa" w:w="100"/>
              <w:bottom w:type="dxa" w:w="80"/>
              <w:right w:type="dxa" w:w="100"/>
            </w:tcMar>
            <w:vAlign w:val="center"/>
          </w:tcPr>
          <w:p>
            <w:r>
              <w:rPr>
                <w:b w:val="false"/>
                <w:bCs w:val="false"/>
                <w:color w:val="000000"/>
                <w:sz w:val="20"/>
                <w:szCs w:val="20"/>
              </w:rPr>
              <w:t xml:space="preserve">Ensures reproducible results</w:t>
            </w:r>
          </w:p>
        </w:tc>
      </w:tr>
    </w:tbl>
    <w:p>
      <w:pPr>
        <w:pStyle w:val="Heading1"/>
        <w:pBdr>
          <w:bottom w:val="single" w:color="1F3864" w:sz="6" w:space="4"/>
        </w:pBdr>
        <w:spacing w:after="160" w:before="360"/>
      </w:pPr>
      <w:r>
        <w:rPr>
          <w:b/>
          <w:bCs/>
          <w:color w:val="1F3864"/>
          <w:sz w:val="30"/>
          <w:szCs w:val="30"/>
        </w:rPr>
        <w:t xml:space="preserve">6. Model Evaluation</w:t>
      </w:r>
    </w:p>
    <w:p>
      <w:pPr>
        <w:pStyle w:val="Heading2"/>
        <w:spacing w:after="120" w:before="260"/>
      </w:pPr>
      <w:r>
        <w:rPr>
          <w:b/>
          <w:bCs/>
          <w:color w:val="2E74B5"/>
          <w:sz w:val="24"/>
          <w:szCs w:val="24"/>
        </w:rPr>
        <w:t xml:space="preserve">Overall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4680"/>
            <w:shd w:fill="1F3864" w:val="clear"/>
            <w:tcMar>
              <w:top w:type="dxa" w:w="80"/>
              <w:left w:type="dxa" w:w="100"/>
              <w:bottom w:type="dxa" w:w="80"/>
              <w:right w:type="dxa" w:w="100"/>
            </w:tcMar>
            <w:vAlign w:val="center"/>
          </w:tcPr>
          <w:p>
            <w:r>
              <w:rPr>
                <w:b/>
                <w:bCs/>
                <w:color w:val="FFFFFF"/>
                <w:sz w:val="20"/>
                <w:szCs w:val="20"/>
              </w:rPr>
              <w:t xml:space="preserve">Score</w:t>
            </w:r>
          </w:p>
        </w:tc>
      </w:tr>
      <w:tr>
        <w:tc>
          <w:tcPr>
            <w:tcW w:type="dxa" w:w="4680"/>
            <w:tcMar>
              <w:top w:type="dxa" w:w="80"/>
              <w:left w:type="dxa" w:w="100"/>
              <w:bottom w:type="dxa" w:w="80"/>
              <w:right w:type="dxa" w:w="100"/>
            </w:tcMar>
            <w:vAlign w:val="center"/>
          </w:tcPr>
          <w:p>
            <w:r>
              <w:rPr>
                <w:b w:val="false"/>
                <w:bCs w:val="false"/>
                <w:color w:val="000000"/>
                <w:sz w:val="20"/>
                <w:szCs w:val="20"/>
              </w:rPr>
              <w:t xml:space="preserve">Accuracy</w:t>
            </w:r>
          </w:p>
        </w:tc>
        <w:tc>
          <w:tcPr>
            <w:tcW w:type="dxa" w:w="4680"/>
            <w:tcMar>
              <w:top w:type="dxa" w:w="80"/>
              <w:left w:type="dxa" w:w="100"/>
              <w:bottom w:type="dxa" w:w="80"/>
              <w:right w:type="dxa" w:w="100"/>
            </w:tcMar>
            <w:vAlign w:val="center"/>
          </w:tcPr>
          <w:p>
            <w:r>
              <w:rPr>
                <w:b w:val="false"/>
                <w:bCs w:val="false"/>
                <w:color w:val="000000"/>
                <w:sz w:val="20"/>
                <w:szCs w:val="20"/>
              </w:rPr>
              <w:t xml:space="preserve">80.05%</w:t>
            </w:r>
          </w:p>
        </w:tc>
      </w:tr>
      <w:tr>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ROC-AUC</w:t>
            </w:r>
          </w:p>
        </w:tc>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0.8101</w:t>
            </w:r>
          </w:p>
        </w:tc>
      </w:tr>
    </w:tbl>
    <w:p>
      <w:pPr>
        <w:spacing w:after="120"/>
      </w:pPr>
    </w:p>
    <w:p>
      <w:pPr>
        <w:pStyle w:val="Heading2"/>
        <w:spacing w:after="120" w:before="260"/>
      </w:pPr>
      <w:r>
        <w:rPr>
          <w:b/>
          <w:bCs/>
          <w:color w:val="2E74B5"/>
          <w:sz w:val="24"/>
          <w:szCs w:val="24"/>
        </w:rPr>
        <w:t xml:space="preserve">Classification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685"/>
        <w:gridCol w:w="1685"/>
        <w:gridCol w:w="1685"/>
        <w:gridCol w:w="1685"/>
      </w:tblGrid>
      <w:tr>
        <w:trPr>
          <w:tblHeader/>
        </w:trPr>
        <w:tc>
          <w:tcPr>
            <w:tcW w:type="dxa" w:w="2621"/>
            <w:shd w:fill="1F3864" w:val="clear"/>
            <w:tcMar>
              <w:top w:type="dxa" w:w="80"/>
              <w:left w:type="dxa" w:w="100"/>
              <w:bottom w:type="dxa" w:w="80"/>
              <w:right w:type="dxa" w:w="100"/>
            </w:tcMar>
            <w:vAlign w:val="center"/>
          </w:tcPr>
          <w:p>
            <w:r>
              <w:rPr>
                <w:b/>
                <w:bCs/>
                <w:color w:val="FFFFFF"/>
                <w:sz w:val="20"/>
                <w:szCs w:val="20"/>
              </w:rPr>
              <w:t xml:space="preserve">Class</w:t>
            </w:r>
          </w:p>
        </w:tc>
        <w:tc>
          <w:tcPr>
            <w:tcW w:type="dxa" w:w="1685"/>
            <w:shd w:fill="1F3864" w:val="clear"/>
            <w:tcMar>
              <w:top w:type="dxa" w:w="80"/>
              <w:left w:type="dxa" w:w="100"/>
              <w:bottom w:type="dxa" w:w="80"/>
              <w:right w:type="dxa" w:w="100"/>
            </w:tcMar>
            <w:vAlign w:val="center"/>
          </w:tcPr>
          <w:p>
            <w:r>
              <w:rPr>
                <w:b/>
                <w:bCs/>
                <w:color w:val="FFFFFF"/>
                <w:sz w:val="20"/>
                <w:szCs w:val="20"/>
              </w:rPr>
              <w:t xml:space="preserve">Precision</w:t>
            </w:r>
          </w:p>
        </w:tc>
        <w:tc>
          <w:tcPr>
            <w:tcW w:type="dxa" w:w="1685"/>
            <w:shd w:fill="1F3864" w:val="clear"/>
            <w:tcMar>
              <w:top w:type="dxa" w:w="80"/>
              <w:left w:type="dxa" w:w="100"/>
              <w:bottom w:type="dxa" w:w="80"/>
              <w:right w:type="dxa" w:w="100"/>
            </w:tcMar>
            <w:vAlign w:val="center"/>
          </w:tcPr>
          <w:p>
            <w:r>
              <w:rPr>
                <w:b/>
                <w:bCs/>
                <w:color w:val="FFFFFF"/>
                <w:sz w:val="20"/>
                <w:szCs w:val="20"/>
              </w:rPr>
              <w:t xml:space="preserve">Recall</w:t>
            </w:r>
          </w:p>
        </w:tc>
        <w:tc>
          <w:tcPr>
            <w:tcW w:type="dxa" w:w="1685"/>
            <w:shd w:fill="1F3864" w:val="clear"/>
            <w:tcMar>
              <w:top w:type="dxa" w:w="80"/>
              <w:left w:type="dxa" w:w="100"/>
              <w:bottom w:type="dxa" w:w="80"/>
              <w:right w:type="dxa" w:w="100"/>
            </w:tcMar>
            <w:vAlign w:val="center"/>
          </w:tcPr>
          <w:p>
            <w:r>
              <w:rPr>
                <w:b/>
                <w:bCs/>
                <w:color w:val="FFFFFF"/>
                <w:sz w:val="20"/>
                <w:szCs w:val="20"/>
              </w:rPr>
              <w:t xml:space="preserve">F1-Score</w:t>
            </w:r>
          </w:p>
        </w:tc>
        <w:tc>
          <w:tcPr>
            <w:tcW w:type="dxa" w:w="1685"/>
            <w:shd w:fill="1F3864" w:val="clear"/>
            <w:tcMar>
              <w:top w:type="dxa" w:w="80"/>
              <w:left w:type="dxa" w:w="100"/>
              <w:bottom w:type="dxa" w:w="80"/>
              <w:right w:type="dxa" w:w="100"/>
            </w:tcMar>
            <w:vAlign w:val="center"/>
          </w:tcPr>
          <w:p>
            <w:r>
              <w:rPr>
                <w:b/>
                <w:bCs/>
                <w:color w:val="FFFFFF"/>
                <w:sz w:val="20"/>
                <w:szCs w:val="20"/>
              </w:rPr>
              <w:t xml:space="preserve">Support</w:t>
            </w:r>
          </w:p>
        </w:tc>
      </w:tr>
      <w:tr>
        <w:tc>
          <w:tcPr>
            <w:tcW w:type="dxa" w:w="2621"/>
            <w:tcMar>
              <w:top w:type="dxa" w:w="80"/>
              <w:left w:type="dxa" w:w="100"/>
              <w:bottom w:type="dxa" w:w="80"/>
              <w:right w:type="dxa" w:w="100"/>
            </w:tcMar>
            <w:vAlign w:val="center"/>
          </w:tcPr>
          <w:p>
            <w:r>
              <w:rPr>
                <w:b w:val="false"/>
                <w:bCs w:val="false"/>
                <w:color w:val="000000"/>
                <w:sz w:val="20"/>
                <w:szCs w:val="20"/>
              </w:rPr>
              <w:t xml:space="preserve">Genuine (0)</w:t>
            </w:r>
          </w:p>
        </w:tc>
        <w:tc>
          <w:tcPr>
            <w:tcW w:type="dxa" w:w="1685"/>
            <w:tcMar>
              <w:top w:type="dxa" w:w="80"/>
              <w:left w:type="dxa" w:w="100"/>
              <w:bottom w:type="dxa" w:w="80"/>
              <w:right w:type="dxa" w:w="100"/>
            </w:tcMar>
            <w:vAlign w:val="center"/>
          </w:tcPr>
          <w:p>
            <w:r>
              <w:rPr>
                <w:b w:val="false"/>
                <w:bCs w:val="false"/>
                <w:color w:val="000000"/>
                <w:sz w:val="20"/>
                <w:szCs w:val="20"/>
              </w:rPr>
              <w:t xml:space="preserve">0.86</w:t>
            </w:r>
          </w:p>
        </w:tc>
        <w:tc>
          <w:tcPr>
            <w:tcW w:type="dxa" w:w="1685"/>
            <w:tcMar>
              <w:top w:type="dxa" w:w="80"/>
              <w:left w:type="dxa" w:w="100"/>
              <w:bottom w:type="dxa" w:w="80"/>
              <w:right w:type="dxa" w:w="100"/>
            </w:tcMar>
            <w:vAlign w:val="center"/>
          </w:tcPr>
          <w:p>
            <w:r>
              <w:rPr>
                <w:b w:val="false"/>
                <w:bCs w:val="false"/>
                <w:color w:val="000000"/>
                <w:sz w:val="20"/>
                <w:szCs w:val="20"/>
              </w:rPr>
              <w:t xml:space="preserve">0.88</w:t>
            </w:r>
          </w:p>
        </w:tc>
        <w:tc>
          <w:tcPr>
            <w:tcW w:type="dxa" w:w="1685"/>
            <w:tcMar>
              <w:top w:type="dxa" w:w="80"/>
              <w:left w:type="dxa" w:w="100"/>
              <w:bottom w:type="dxa" w:w="80"/>
              <w:right w:type="dxa" w:w="100"/>
            </w:tcMar>
            <w:vAlign w:val="center"/>
          </w:tcPr>
          <w:p>
            <w:r>
              <w:rPr>
                <w:b w:val="false"/>
                <w:bCs w:val="false"/>
                <w:color w:val="000000"/>
                <w:sz w:val="20"/>
                <w:szCs w:val="20"/>
              </w:rPr>
              <w:t xml:space="preserve">0.87</w:t>
            </w:r>
          </w:p>
        </w:tc>
        <w:tc>
          <w:tcPr>
            <w:tcW w:type="dxa" w:w="1685"/>
            <w:tcMar>
              <w:top w:type="dxa" w:w="80"/>
              <w:left w:type="dxa" w:w="100"/>
              <w:bottom w:type="dxa" w:w="80"/>
              <w:right w:type="dxa" w:w="100"/>
            </w:tcMar>
            <w:vAlign w:val="center"/>
          </w:tcPr>
          <w:p>
            <w:r>
              <w:rPr>
                <w:b w:val="false"/>
                <w:bCs w:val="false"/>
                <w:color w:val="000000"/>
                <w:sz w:val="20"/>
                <w:szCs w:val="20"/>
              </w:rPr>
              <w:t xml:space="preserve">1,487</w:t>
            </w:r>
          </w:p>
        </w:tc>
      </w:tr>
      <w:tr>
        <w:tc>
          <w:tcPr>
            <w:tcW w:type="dxa" w:w="2621"/>
            <w:shd w:fill="F2F6FA" w:val="clear"/>
            <w:tcMar>
              <w:top w:type="dxa" w:w="80"/>
              <w:left w:type="dxa" w:w="100"/>
              <w:bottom w:type="dxa" w:w="80"/>
              <w:right w:type="dxa" w:w="100"/>
            </w:tcMar>
            <w:vAlign w:val="center"/>
          </w:tcPr>
          <w:p>
            <w:r>
              <w:rPr>
                <w:b w:val="false"/>
                <w:bCs w:val="false"/>
                <w:color w:val="000000"/>
                <w:sz w:val="20"/>
                <w:szCs w:val="20"/>
              </w:rPr>
              <w:t xml:space="preserve">Fraud (1)</w:t>
            </w:r>
          </w:p>
        </w:tc>
        <w:tc>
          <w:tcPr>
            <w:tcW w:type="dxa" w:w="1685"/>
            <w:shd w:fill="F2F6FA" w:val="clear"/>
            <w:tcMar>
              <w:top w:type="dxa" w:w="80"/>
              <w:left w:type="dxa" w:w="100"/>
              <w:bottom w:type="dxa" w:w="80"/>
              <w:right w:type="dxa" w:w="100"/>
            </w:tcMar>
            <w:vAlign w:val="center"/>
          </w:tcPr>
          <w:p>
            <w:r>
              <w:rPr>
                <w:b w:val="false"/>
                <w:bCs w:val="false"/>
                <w:color w:val="000000"/>
                <w:sz w:val="20"/>
                <w:szCs w:val="20"/>
              </w:rPr>
              <w:t xml:space="preserve">0.62</w:t>
            </w:r>
          </w:p>
        </w:tc>
        <w:tc>
          <w:tcPr>
            <w:tcW w:type="dxa" w:w="1685"/>
            <w:shd w:fill="F2F6FA" w:val="clear"/>
            <w:tcMar>
              <w:top w:type="dxa" w:w="80"/>
              <w:left w:type="dxa" w:w="100"/>
              <w:bottom w:type="dxa" w:w="80"/>
              <w:right w:type="dxa" w:w="100"/>
            </w:tcMar>
            <w:vAlign w:val="center"/>
          </w:tcPr>
          <w:p>
            <w:r>
              <w:rPr>
                <w:b w:val="false"/>
                <w:bCs w:val="false"/>
                <w:color w:val="000000"/>
                <w:sz w:val="20"/>
                <w:szCs w:val="20"/>
              </w:rPr>
              <w:t xml:space="preserve">0.57</w:t>
            </w:r>
          </w:p>
        </w:tc>
        <w:tc>
          <w:tcPr>
            <w:tcW w:type="dxa" w:w="1685"/>
            <w:shd w:fill="F2F6FA" w:val="clear"/>
            <w:tcMar>
              <w:top w:type="dxa" w:w="80"/>
              <w:left w:type="dxa" w:w="100"/>
              <w:bottom w:type="dxa" w:w="80"/>
              <w:right w:type="dxa" w:w="100"/>
            </w:tcMar>
            <w:vAlign w:val="center"/>
          </w:tcPr>
          <w:p>
            <w:r>
              <w:rPr>
                <w:b w:val="false"/>
                <w:bCs w:val="false"/>
                <w:color w:val="000000"/>
                <w:sz w:val="20"/>
                <w:szCs w:val="20"/>
              </w:rPr>
              <w:t xml:space="preserve">0.59</w:t>
            </w:r>
          </w:p>
        </w:tc>
        <w:tc>
          <w:tcPr>
            <w:tcW w:type="dxa" w:w="1685"/>
            <w:shd w:fill="F2F6FA" w:val="clear"/>
            <w:tcMar>
              <w:top w:type="dxa" w:w="80"/>
              <w:left w:type="dxa" w:w="100"/>
              <w:bottom w:type="dxa" w:w="80"/>
              <w:right w:type="dxa" w:w="100"/>
            </w:tcMar>
            <w:vAlign w:val="center"/>
          </w:tcPr>
          <w:p>
            <w:r>
              <w:rPr>
                <w:b w:val="false"/>
                <w:bCs w:val="false"/>
                <w:color w:val="000000"/>
                <w:sz w:val="20"/>
                <w:szCs w:val="20"/>
              </w:rPr>
              <w:t xml:space="preserve">513</w:t>
            </w:r>
          </w:p>
        </w:tc>
      </w:tr>
      <w:tr>
        <w:tc>
          <w:tcPr>
            <w:tcW w:type="dxa" w:w="2621"/>
            <w:tcMar>
              <w:top w:type="dxa" w:w="80"/>
              <w:left w:type="dxa" w:w="100"/>
              <w:bottom w:type="dxa" w:w="80"/>
              <w:right w:type="dxa" w:w="100"/>
            </w:tcMar>
            <w:vAlign w:val="center"/>
          </w:tcPr>
          <w:p>
            <w:r>
              <w:rPr>
                <w:b w:val="false"/>
                <w:bCs w:val="false"/>
                <w:color w:val="000000"/>
                <w:sz w:val="20"/>
                <w:szCs w:val="20"/>
              </w:rPr>
              <w:t xml:space="preserve">Weighted Avg</w:t>
            </w:r>
          </w:p>
        </w:tc>
        <w:tc>
          <w:tcPr>
            <w:tcW w:type="dxa" w:w="1685"/>
            <w:tcMar>
              <w:top w:type="dxa" w:w="80"/>
              <w:left w:type="dxa" w:w="100"/>
              <w:bottom w:type="dxa" w:w="80"/>
              <w:right w:type="dxa" w:w="100"/>
            </w:tcMar>
            <w:vAlign w:val="center"/>
          </w:tcPr>
          <w:p>
            <w:r>
              <w:rPr>
                <w:b w:val="false"/>
                <w:bCs w:val="false"/>
                <w:color w:val="000000"/>
                <w:sz w:val="20"/>
                <w:szCs w:val="20"/>
              </w:rPr>
              <w:t xml:space="preserve">0.80</w:t>
            </w:r>
          </w:p>
        </w:tc>
        <w:tc>
          <w:tcPr>
            <w:tcW w:type="dxa" w:w="1685"/>
            <w:tcMar>
              <w:top w:type="dxa" w:w="80"/>
              <w:left w:type="dxa" w:w="100"/>
              <w:bottom w:type="dxa" w:w="80"/>
              <w:right w:type="dxa" w:w="100"/>
            </w:tcMar>
            <w:vAlign w:val="center"/>
          </w:tcPr>
          <w:p>
            <w:r>
              <w:rPr>
                <w:b w:val="false"/>
                <w:bCs w:val="false"/>
                <w:color w:val="000000"/>
                <w:sz w:val="20"/>
                <w:szCs w:val="20"/>
              </w:rPr>
              <w:t xml:space="preserve">0.80</w:t>
            </w:r>
          </w:p>
        </w:tc>
        <w:tc>
          <w:tcPr>
            <w:tcW w:type="dxa" w:w="1685"/>
            <w:tcMar>
              <w:top w:type="dxa" w:w="80"/>
              <w:left w:type="dxa" w:w="100"/>
              <w:bottom w:type="dxa" w:w="80"/>
              <w:right w:type="dxa" w:w="100"/>
            </w:tcMar>
            <w:vAlign w:val="center"/>
          </w:tcPr>
          <w:p>
            <w:r>
              <w:rPr>
                <w:b w:val="false"/>
                <w:bCs w:val="false"/>
                <w:color w:val="000000"/>
                <w:sz w:val="20"/>
                <w:szCs w:val="20"/>
              </w:rPr>
              <w:t xml:space="preserve">0.80</w:t>
            </w:r>
          </w:p>
        </w:tc>
        <w:tc>
          <w:tcPr>
            <w:tcW w:type="dxa" w:w="1685"/>
            <w:tcMar>
              <w:top w:type="dxa" w:w="80"/>
              <w:left w:type="dxa" w:w="100"/>
              <w:bottom w:type="dxa" w:w="80"/>
              <w:right w:type="dxa" w:w="100"/>
            </w:tcMar>
            <w:vAlign w:val="center"/>
          </w:tcPr>
          <w:p>
            <w:r>
              <w:rPr>
                <w:b w:val="false"/>
                <w:bCs w:val="false"/>
                <w:color w:val="000000"/>
                <w:sz w:val="20"/>
                <w:szCs w:val="20"/>
              </w:rPr>
              <w:t xml:space="preserve">2,000</w:t>
            </w:r>
          </w:p>
        </w:tc>
      </w:tr>
    </w:tbl>
    <w:p>
      <w:pPr>
        <w:spacing w:after="160" w:line="276"/>
      </w:pPr>
      <w:r>
        <w:rPr>
          <w:b w:val="false"/>
          <w:bCs w:val="false"/>
          <w:i w:val="false"/>
          <w:iCs w:val="false"/>
          <w:sz w:val="22"/>
          <w:szCs w:val="22"/>
        </w:rPr>
        <w:t xml:space="preserve">The model performs strongly on genuine transactions (87% F1-score) and reasonably on the harder fraud-detection task (59% F1-score), which is expected given fraud is the minority class and inherently harder to separate cleanly. In a production setting, this recall/precision trade-off would be tuned based on the platform's tolerance for false positives (blocking genuine users) versus false negatives (missing real fraud).</w:t>
      </w:r>
    </w:p>
    <w:p>
      <w:pPr>
        <w:spacing w:after="120"/>
      </w:pPr>
    </w:p>
    <w:p>
      <w:pPr>
        <w:pStyle w:val="Heading2"/>
        <w:spacing w:after="120" w:before="260"/>
      </w:pPr>
      <w:r>
        <w:rPr>
          <w:b/>
          <w:bCs/>
          <w:color w:val="2E74B5"/>
          <w:sz w:val="24"/>
          <w:szCs w:val="24"/>
        </w:rPr>
        <w:t xml:space="preserve">Confusion Matrix</w:t>
      </w:r>
    </w:p>
    <w:p>
      <w:pPr>
        <w:spacing w:after="60" w:before="12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048000"/>
                    </a:xfrm>
                    <a:prstGeom prst="rect">
                      <a:avLst/>
                    </a:prstGeom>
                  </pic:spPr>
                </pic:pic>
              </a:graphicData>
            </a:graphic>
          </wp:inline>
        </w:drawing>
      </w:r>
    </w:p>
    <w:p>
      <w:pPr>
        <w:spacing w:after="240" w:before="80"/>
        <w:jc w:val="center"/>
      </w:pPr>
      <w:r>
        <w:rPr>
          <w:i/>
          <w:iCs/>
          <w:color w:val="595959"/>
          <w:sz w:val="20"/>
          <w:szCs w:val="20"/>
        </w:rPr>
        <w:t xml:space="preserve">Figure 2: Confusion matrix on the 2,000-transaction test set</w:t>
      </w:r>
    </w:p>
    <w:p>
      <w:pPr>
        <w:spacing w:after="160" w:line="276"/>
      </w:pPr>
      <w:r>
        <w:rPr>
          <w:b w:val="false"/>
          <w:bCs w:val="false"/>
          <w:i w:val="false"/>
          <w:iCs w:val="false"/>
          <w:sz w:val="22"/>
          <w:szCs w:val="22"/>
        </w:rPr>
        <w:t xml:space="preserve">Out of 2,000 test transactions, the model correctly identified 1,308 genuine transactions and 293 fraudulent transactions. It incorrectly flagged 179 genuine transactions as fraud (false positives) and missed 220 fraudulent transactions (false negatives) — a realistic outcome for a first-pass academic model that would typically be refined further before production use.</w:t>
      </w:r>
    </w:p>
    <w:p>
      <w:pPr>
        <w:pStyle w:val="Heading1"/>
        <w:pBdr>
          <w:bottom w:val="single" w:color="1F3864" w:sz="6" w:space="4"/>
        </w:pBdr>
        <w:spacing w:after="160" w:before="360"/>
      </w:pPr>
      <w:r>
        <w:rPr>
          <w:b/>
          <w:bCs/>
          <w:color w:val="1F3864"/>
          <w:sz w:val="30"/>
          <w:szCs w:val="30"/>
        </w:rPr>
        <w:t xml:space="preserve">7. Feature Importance</w:t>
      </w:r>
    </w:p>
    <w:p>
      <w:pPr>
        <w:spacing w:after="160" w:line="276"/>
      </w:pPr>
      <w:r>
        <w:rPr>
          <w:b w:val="false"/>
          <w:bCs w:val="false"/>
          <w:i w:val="false"/>
          <w:iCs w:val="false"/>
          <w:sz w:val="22"/>
          <w:szCs w:val="22"/>
        </w:rPr>
        <w:t xml:space="preserve">Understanding which features drive the model's fraud predictions is essential for explainability and for prioritising which signals a real fraud-monitoring team should focus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tblHeader/>
        </w:trPr>
        <w:tc>
          <w:tcPr>
            <w:tcW w:type="dxa" w:w="1404"/>
            <w:shd w:fill="1F3864" w:val="clear"/>
            <w:tcMar>
              <w:top w:type="dxa" w:w="80"/>
              <w:left w:type="dxa" w:w="100"/>
              <w:bottom w:type="dxa" w:w="80"/>
              <w:right w:type="dxa" w:w="100"/>
            </w:tcMar>
            <w:vAlign w:val="center"/>
          </w:tcPr>
          <w:p>
            <w:r>
              <w:rPr>
                <w:b/>
                <w:bCs/>
                <w:color w:val="FFFFFF"/>
                <w:sz w:val="20"/>
                <w:szCs w:val="20"/>
              </w:rPr>
              <w:t xml:space="preserve">Rank</w:t>
            </w:r>
          </w:p>
        </w:tc>
        <w:tc>
          <w:tcPr>
            <w:tcW w:type="dxa" w:w="4680"/>
            <w:shd w:fill="1F3864" w:val="clear"/>
            <w:tcMar>
              <w:top w:type="dxa" w:w="80"/>
              <w:left w:type="dxa" w:w="100"/>
              <w:bottom w:type="dxa" w:w="80"/>
              <w:right w:type="dxa" w:w="100"/>
            </w:tcMar>
            <w:vAlign w:val="center"/>
          </w:tcPr>
          <w:p>
            <w:r>
              <w:rPr>
                <w:b/>
                <w:bCs/>
                <w:color w:val="FFFFFF"/>
                <w:sz w:val="20"/>
                <w:szCs w:val="20"/>
              </w:rPr>
              <w:t xml:space="preserve">Feature</w:t>
            </w:r>
          </w:p>
        </w:tc>
        <w:tc>
          <w:tcPr>
            <w:tcW w:type="dxa" w:w="3276"/>
            <w:shd w:fill="1F3864" w:val="clear"/>
            <w:tcMar>
              <w:top w:type="dxa" w:w="80"/>
              <w:left w:type="dxa" w:w="100"/>
              <w:bottom w:type="dxa" w:w="80"/>
              <w:right w:type="dxa" w:w="100"/>
            </w:tcMar>
            <w:vAlign w:val="center"/>
          </w:tcPr>
          <w:p>
            <w:r>
              <w:rPr>
                <w:b/>
                <w:bCs/>
                <w:color w:val="FFFFFF"/>
                <w:sz w:val="20"/>
                <w:szCs w:val="20"/>
              </w:rPr>
              <w:t xml:space="preserve">Importance</w:t>
            </w:r>
          </w:p>
        </w:tc>
      </w:tr>
      <w:tr>
        <w:tc>
          <w:tcPr>
            <w:tcW w:type="dxa" w:w="1404"/>
            <w:tcMar>
              <w:top w:type="dxa" w:w="80"/>
              <w:left w:type="dxa" w:w="100"/>
              <w:bottom w:type="dxa" w:w="80"/>
              <w:right w:type="dxa" w:w="100"/>
            </w:tcMar>
            <w:vAlign w:val="center"/>
          </w:tcPr>
          <w:p>
            <w:r>
              <w:rPr>
                <w:b w:val="false"/>
                <w:bCs w:val="false"/>
                <w:color w:val="000000"/>
                <w:sz w:val="20"/>
                <w:szCs w:val="20"/>
              </w:rPr>
              <w:t xml:space="preserve">1</w:t>
            </w:r>
          </w:p>
        </w:tc>
        <w:tc>
          <w:tcPr>
            <w:tcW w:type="dxa" w:w="4680"/>
            <w:tcMar>
              <w:top w:type="dxa" w:w="80"/>
              <w:left w:type="dxa" w:w="100"/>
              <w:bottom w:type="dxa" w:w="80"/>
              <w:right w:type="dxa" w:w="100"/>
            </w:tcMar>
            <w:vAlign w:val="center"/>
          </w:tcPr>
          <w:p>
            <w:r>
              <w:rPr>
                <w:b w:val="false"/>
                <w:bCs w:val="false"/>
                <w:color w:val="000000"/>
                <w:sz w:val="20"/>
                <w:szCs w:val="20"/>
              </w:rPr>
              <w:t xml:space="preserve">transaction_amount</w:t>
            </w:r>
          </w:p>
        </w:tc>
        <w:tc>
          <w:tcPr>
            <w:tcW w:type="dxa" w:w="3276"/>
            <w:tcMar>
              <w:top w:type="dxa" w:w="80"/>
              <w:left w:type="dxa" w:w="100"/>
              <w:bottom w:type="dxa" w:w="80"/>
              <w:right w:type="dxa" w:w="100"/>
            </w:tcMar>
            <w:vAlign w:val="center"/>
          </w:tcPr>
          <w:p>
            <w:r>
              <w:rPr>
                <w:b w:val="false"/>
                <w:bCs w:val="false"/>
                <w:color w:val="000000"/>
                <w:sz w:val="20"/>
                <w:szCs w:val="20"/>
              </w:rPr>
              <w:t xml:space="preserve">46.9%</w:t>
            </w:r>
          </w:p>
        </w:tc>
      </w:tr>
      <w:tr>
        <w:tc>
          <w:tcPr>
            <w:tcW w:type="dxa" w:w="1404"/>
            <w:shd w:fill="F2F6FA" w:val="clear"/>
            <w:tcMar>
              <w:top w:type="dxa" w:w="80"/>
              <w:left w:type="dxa" w:w="100"/>
              <w:bottom w:type="dxa" w:w="80"/>
              <w:right w:type="dxa" w:w="100"/>
            </w:tcMar>
            <w:vAlign w:val="center"/>
          </w:tcPr>
          <w:p>
            <w:r>
              <w:rPr>
                <w:b w:val="false"/>
                <w:bCs w:val="false"/>
                <w:color w:val="000000"/>
                <w:sz w:val="20"/>
                <w:szCs w:val="20"/>
              </w:rPr>
              <w:t xml:space="preserve">2</w:t>
            </w:r>
          </w:p>
        </w:tc>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account_age_days</w:t>
            </w:r>
          </w:p>
        </w:tc>
        <w:tc>
          <w:tcPr>
            <w:tcW w:type="dxa" w:w="3276"/>
            <w:shd w:fill="F2F6FA" w:val="clear"/>
            <w:tcMar>
              <w:top w:type="dxa" w:w="80"/>
              <w:left w:type="dxa" w:w="100"/>
              <w:bottom w:type="dxa" w:w="80"/>
              <w:right w:type="dxa" w:w="100"/>
            </w:tcMar>
            <w:vAlign w:val="center"/>
          </w:tcPr>
          <w:p>
            <w:r>
              <w:rPr>
                <w:b w:val="false"/>
                <w:bCs w:val="false"/>
                <w:color w:val="000000"/>
                <w:sz w:val="20"/>
                <w:szCs w:val="20"/>
              </w:rPr>
              <w:t xml:space="preserve">17.0%</w:t>
            </w:r>
          </w:p>
        </w:tc>
      </w:tr>
      <w:tr>
        <w:tc>
          <w:tcPr>
            <w:tcW w:type="dxa" w:w="1404"/>
            <w:tcMar>
              <w:top w:type="dxa" w:w="80"/>
              <w:left w:type="dxa" w:w="100"/>
              <w:bottom w:type="dxa" w:w="80"/>
              <w:right w:type="dxa" w:w="100"/>
            </w:tcMar>
            <w:vAlign w:val="center"/>
          </w:tcPr>
          <w:p>
            <w:r>
              <w:rPr>
                <w:b w:val="false"/>
                <w:bCs w:val="false"/>
                <w:color w:val="000000"/>
                <w:sz w:val="20"/>
                <w:szCs w:val="20"/>
              </w:rPr>
              <w:t xml:space="preserve">3</w:t>
            </w:r>
          </w:p>
        </w:tc>
        <w:tc>
          <w:tcPr>
            <w:tcW w:type="dxa" w:w="4680"/>
            <w:tcMar>
              <w:top w:type="dxa" w:w="80"/>
              <w:left w:type="dxa" w:w="100"/>
              <w:bottom w:type="dxa" w:w="80"/>
              <w:right w:type="dxa" w:w="100"/>
            </w:tcMar>
            <w:vAlign w:val="center"/>
          </w:tcPr>
          <w:p>
            <w:r>
              <w:rPr>
                <w:b w:val="false"/>
                <w:bCs w:val="false"/>
                <w:color w:val="000000"/>
                <w:sz w:val="20"/>
                <w:szCs w:val="20"/>
              </w:rPr>
              <w:t xml:space="preserve">transactions_last_24h</w:t>
            </w:r>
          </w:p>
        </w:tc>
        <w:tc>
          <w:tcPr>
            <w:tcW w:type="dxa" w:w="3276"/>
            <w:tcMar>
              <w:top w:type="dxa" w:w="80"/>
              <w:left w:type="dxa" w:w="100"/>
              <w:bottom w:type="dxa" w:w="80"/>
              <w:right w:type="dxa" w:w="100"/>
            </w:tcMar>
            <w:vAlign w:val="center"/>
          </w:tcPr>
          <w:p>
            <w:r>
              <w:rPr>
                <w:b w:val="false"/>
                <w:bCs w:val="false"/>
                <w:color w:val="000000"/>
                <w:sz w:val="20"/>
                <w:szCs w:val="20"/>
              </w:rPr>
              <w:t xml:space="preserve">8.7%</w:t>
            </w:r>
          </w:p>
        </w:tc>
      </w:tr>
      <w:tr>
        <w:tc>
          <w:tcPr>
            <w:tcW w:type="dxa" w:w="1404"/>
            <w:shd w:fill="F2F6FA" w:val="clear"/>
            <w:tcMar>
              <w:top w:type="dxa" w:w="80"/>
              <w:left w:type="dxa" w:w="100"/>
              <w:bottom w:type="dxa" w:w="80"/>
              <w:right w:type="dxa" w:w="100"/>
            </w:tcMar>
            <w:vAlign w:val="center"/>
          </w:tcPr>
          <w:p>
            <w:r>
              <w:rPr>
                <w:b w:val="false"/>
                <w:bCs w:val="false"/>
                <w:color w:val="000000"/>
                <w:sz w:val="20"/>
                <w:szCs w:val="20"/>
              </w:rPr>
              <w:t xml:space="preserve">4</w:t>
            </w:r>
          </w:p>
        </w:tc>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failed_attempts</w:t>
            </w:r>
          </w:p>
        </w:tc>
        <w:tc>
          <w:tcPr>
            <w:tcW w:type="dxa" w:w="3276"/>
            <w:shd w:fill="F2F6FA" w:val="clear"/>
            <w:tcMar>
              <w:top w:type="dxa" w:w="80"/>
              <w:left w:type="dxa" w:w="100"/>
              <w:bottom w:type="dxa" w:w="80"/>
              <w:right w:type="dxa" w:w="100"/>
            </w:tcMar>
            <w:vAlign w:val="center"/>
          </w:tcPr>
          <w:p>
            <w:r>
              <w:rPr>
                <w:b w:val="false"/>
                <w:bCs w:val="false"/>
                <w:color w:val="000000"/>
                <w:sz w:val="20"/>
                <w:szCs w:val="20"/>
              </w:rPr>
              <w:t xml:space="preserve">8.2%</w:t>
            </w:r>
          </w:p>
        </w:tc>
      </w:tr>
      <w:tr>
        <w:tc>
          <w:tcPr>
            <w:tcW w:type="dxa" w:w="1404"/>
            <w:tcMar>
              <w:top w:type="dxa" w:w="80"/>
              <w:left w:type="dxa" w:w="100"/>
              <w:bottom w:type="dxa" w:w="80"/>
              <w:right w:type="dxa" w:w="100"/>
            </w:tcMar>
            <w:vAlign w:val="center"/>
          </w:tcPr>
          <w:p>
            <w:r>
              <w:rPr>
                <w:b w:val="false"/>
                <w:bCs w:val="false"/>
                <w:color w:val="000000"/>
                <w:sz w:val="20"/>
                <w:szCs w:val="20"/>
              </w:rPr>
              <w:t xml:space="preserve">5</w:t>
            </w:r>
          </w:p>
        </w:tc>
        <w:tc>
          <w:tcPr>
            <w:tcW w:type="dxa" w:w="4680"/>
            <w:tcMar>
              <w:top w:type="dxa" w:w="80"/>
              <w:left w:type="dxa" w:w="100"/>
              <w:bottom w:type="dxa" w:w="80"/>
              <w:right w:type="dxa" w:w="100"/>
            </w:tcMar>
            <w:vAlign w:val="center"/>
          </w:tcPr>
          <w:p>
            <w:r>
              <w:rPr>
                <w:b w:val="false"/>
                <w:bCs w:val="false"/>
                <w:color w:val="000000"/>
                <w:sz w:val="20"/>
                <w:szCs w:val="20"/>
              </w:rPr>
              <w:t xml:space="preserve">previous_fraud_reports</w:t>
            </w:r>
          </w:p>
        </w:tc>
        <w:tc>
          <w:tcPr>
            <w:tcW w:type="dxa" w:w="3276"/>
            <w:tcMar>
              <w:top w:type="dxa" w:w="80"/>
              <w:left w:type="dxa" w:w="100"/>
              <w:bottom w:type="dxa" w:w="80"/>
              <w:right w:type="dxa" w:w="100"/>
            </w:tcMar>
            <w:vAlign w:val="center"/>
          </w:tcPr>
          <w:p>
            <w:r>
              <w:rPr>
                <w:b w:val="false"/>
                <w:bCs w:val="false"/>
                <w:color w:val="000000"/>
                <w:sz w:val="20"/>
                <w:szCs w:val="20"/>
              </w:rPr>
              <w:t xml:space="preserve">5.2%</w:t>
            </w:r>
          </w:p>
        </w:tc>
      </w:tr>
      <w:tr>
        <w:tc>
          <w:tcPr>
            <w:tcW w:type="dxa" w:w="1404"/>
            <w:shd w:fill="F2F6FA" w:val="clear"/>
            <w:tcMar>
              <w:top w:type="dxa" w:w="80"/>
              <w:left w:type="dxa" w:w="100"/>
              <w:bottom w:type="dxa" w:w="80"/>
              <w:right w:type="dxa" w:w="100"/>
            </w:tcMar>
            <w:vAlign w:val="center"/>
          </w:tcPr>
          <w:p>
            <w:r>
              <w:rPr>
                <w:b w:val="false"/>
                <w:bCs w:val="false"/>
                <w:color w:val="000000"/>
                <w:sz w:val="20"/>
                <w:szCs w:val="20"/>
              </w:rPr>
              <w:t xml:space="preserve">6</w:t>
            </w:r>
          </w:p>
        </w:tc>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new_recipient</w:t>
            </w:r>
          </w:p>
        </w:tc>
        <w:tc>
          <w:tcPr>
            <w:tcW w:type="dxa" w:w="3276"/>
            <w:shd w:fill="F2F6FA" w:val="clear"/>
            <w:tcMar>
              <w:top w:type="dxa" w:w="80"/>
              <w:left w:type="dxa" w:w="100"/>
              <w:bottom w:type="dxa" w:w="80"/>
              <w:right w:type="dxa" w:w="100"/>
            </w:tcMar>
            <w:vAlign w:val="center"/>
          </w:tcPr>
          <w:p>
            <w:r>
              <w:rPr>
                <w:b w:val="false"/>
                <w:bCs w:val="false"/>
                <w:color w:val="000000"/>
                <w:sz w:val="20"/>
                <w:szCs w:val="20"/>
              </w:rPr>
              <w:t xml:space="preserve">4.0%</w:t>
            </w:r>
          </w:p>
        </w:tc>
      </w:tr>
      <w:tr>
        <w:tc>
          <w:tcPr>
            <w:tcW w:type="dxa" w:w="1404"/>
            <w:tcMar>
              <w:top w:type="dxa" w:w="80"/>
              <w:left w:type="dxa" w:w="100"/>
              <w:bottom w:type="dxa" w:w="80"/>
              <w:right w:type="dxa" w:w="100"/>
            </w:tcMar>
            <w:vAlign w:val="center"/>
          </w:tcPr>
          <w:p>
            <w:r>
              <w:rPr>
                <w:b w:val="false"/>
                <w:bCs w:val="false"/>
                <w:color w:val="000000"/>
                <w:sz w:val="20"/>
                <w:szCs w:val="20"/>
              </w:rPr>
              <w:t xml:space="preserve">7</w:t>
            </w:r>
          </w:p>
        </w:tc>
        <w:tc>
          <w:tcPr>
            <w:tcW w:type="dxa" w:w="4680"/>
            <w:tcMar>
              <w:top w:type="dxa" w:w="80"/>
              <w:left w:type="dxa" w:w="100"/>
              <w:bottom w:type="dxa" w:w="80"/>
              <w:right w:type="dxa" w:w="100"/>
            </w:tcMar>
            <w:vAlign w:val="center"/>
          </w:tcPr>
          <w:p>
            <w:r>
              <w:rPr>
                <w:b w:val="false"/>
                <w:bCs w:val="false"/>
                <w:color w:val="000000"/>
                <w:sz w:val="20"/>
                <w:szCs w:val="20"/>
              </w:rPr>
              <w:t xml:space="preserve">location_change</w:t>
            </w:r>
          </w:p>
        </w:tc>
        <w:tc>
          <w:tcPr>
            <w:tcW w:type="dxa" w:w="3276"/>
            <w:tcMar>
              <w:top w:type="dxa" w:w="80"/>
              <w:left w:type="dxa" w:w="100"/>
              <w:bottom w:type="dxa" w:w="80"/>
              <w:right w:type="dxa" w:w="100"/>
            </w:tcMar>
            <w:vAlign w:val="center"/>
          </w:tcPr>
          <w:p>
            <w:r>
              <w:rPr>
                <w:b w:val="false"/>
                <w:bCs w:val="false"/>
                <w:color w:val="000000"/>
                <w:sz w:val="20"/>
                <w:szCs w:val="20"/>
              </w:rPr>
              <w:t xml:space="preserve">3.8%</w:t>
            </w:r>
          </w:p>
        </w:tc>
      </w:tr>
      <w:tr>
        <w:tc>
          <w:tcPr>
            <w:tcW w:type="dxa" w:w="1404"/>
            <w:shd w:fill="F2F6FA" w:val="clear"/>
            <w:tcMar>
              <w:top w:type="dxa" w:w="80"/>
              <w:left w:type="dxa" w:w="100"/>
              <w:bottom w:type="dxa" w:w="80"/>
              <w:right w:type="dxa" w:w="100"/>
            </w:tcMar>
            <w:vAlign w:val="center"/>
          </w:tcPr>
          <w:p>
            <w:r>
              <w:rPr>
                <w:b w:val="false"/>
                <w:bCs w:val="false"/>
                <w:color w:val="000000"/>
                <w:sz w:val="20"/>
                <w:szCs w:val="20"/>
              </w:rPr>
              <w:t xml:space="preserve">8</w:t>
            </w:r>
          </w:p>
        </w:tc>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new_device</w:t>
            </w:r>
          </w:p>
        </w:tc>
        <w:tc>
          <w:tcPr>
            <w:tcW w:type="dxa" w:w="3276"/>
            <w:shd w:fill="F2F6FA" w:val="clear"/>
            <w:tcMar>
              <w:top w:type="dxa" w:w="80"/>
              <w:left w:type="dxa" w:w="100"/>
              <w:bottom w:type="dxa" w:w="80"/>
              <w:right w:type="dxa" w:w="100"/>
            </w:tcMar>
            <w:vAlign w:val="center"/>
          </w:tcPr>
          <w:p>
            <w:r>
              <w:rPr>
                <w:b w:val="false"/>
                <w:bCs w:val="false"/>
                <w:color w:val="000000"/>
                <w:sz w:val="20"/>
                <w:szCs w:val="20"/>
              </w:rPr>
              <w:t xml:space="preserve">3.7%</w:t>
            </w:r>
          </w:p>
        </w:tc>
      </w:tr>
      <w:tr>
        <w:tc>
          <w:tcPr>
            <w:tcW w:type="dxa" w:w="1404"/>
            <w:tcMar>
              <w:top w:type="dxa" w:w="80"/>
              <w:left w:type="dxa" w:w="100"/>
              <w:bottom w:type="dxa" w:w="80"/>
              <w:right w:type="dxa" w:w="100"/>
            </w:tcMar>
            <w:vAlign w:val="center"/>
          </w:tcPr>
          <w:p>
            <w:r>
              <w:rPr>
                <w:b w:val="false"/>
                <w:bCs w:val="false"/>
                <w:color w:val="000000"/>
                <w:sz w:val="20"/>
                <w:szCs w:val="20"/>
              </w:rPr>
              <w:t xml:space="preserve">9</w:t>
            </w:r>
          </w:p>
        </w:tc>
        <w:tc>
          <w:tcPr>
            <w:tcW w:type="dxa" w:w="4680"/>
            <w:tcMar>
              <w:top w:type="dxa" w:w="80"/>
              <w:left w:type="dxa" w:w="100"/>
              <w:bottom w:type="dxa" w:w="80"/>
              <w:right w:type="dxa" w:w="100"/>
            </w:tcMar>
            <w:vAlign w:val="center"/>
          </w:tcPr>
          <w:p>
            <w:r>
              <w:rPr>
                <w:b w:val="false"/>
                <w:bCs w:val="false"/>
                <w:color w:val="000000"/>
                <w:sz w:val="20"/>
                <w:szCs w:val="20"/>
              </w:rPr>
              <w:t xml:space="preserve">night_transaction</w:t>
            </w:r>
          </w:p>
        </w:tc>
        <w:tc>
          <w:tcPr>
            <w:tcW w:type="dxa" w:w="3276"/>
            <w:tcMar>
              <w:top w:type="dxa" w:w="80"/>
              <w:left w:type="dxa" w:w="100"/>
              <w:bottom w:type="dxa" w:w="80"/>
              <w:right w:type="dxa" w:w="100"/>
            </w:tcMar>
            <w:vAlign w:val="center"/>
          </w:tcPr>
          <w:p>
            <w:r>
              <w:rPr>
                <w:b w:val="false"/>
                <w:bCs w:val="false"/>
                <w:color w:val="000000"/>
                <w:sz w:val="20"/>
                <w:szCs w:val="20"/>
              </w:rPr>
              <w:t xml:space="preserve">2.5%</w:t>
            </w:r>
          </w:p>
        </w:tc>
      </w:tr>
    </w:tbl>
    <w:p>
      <w:pPr>
        <w:spacing w:after="60" w:before="120"/>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76500"/>
                    </a:xfrm>
                    <a:prstGeom prst="rect">
                      <a:avLst/>
                    </a:prstGeom>
                  </pic:spPr>
                </pic:pic>
              </a:graphicData>
            </a:graphic>
          </wp:inline>
        </w:drawing>
      </w:r>
    </w:p>
    <w:p>
      <w:pPr>
        <w:spacing w:after="240" w:before="80"/>
        <w:jc w:val="center"/>
      </w:pPr>
      <w:r>
        <w:rPr>
          <w:i/>
          <w:iCs/>
          <w:color w:val="595959"/>
          <w:sz w:val="20"/>
          <w:szCs w:val="20"/>
        </w:rPr>
        <w:t xml:space="preserve">Figure 3: Relative feature importance from the trained Random Forest model</w:t>
      </w:r>
    </w:p>
    <w:p>
      <w:pPr>
        <w:spacing w:after="160" w:line="276"/>
      </w:pPr>
      <w:r>
        <w:rPr>
          <w:b w:val="false"/>
          <w:bCs w:val="false"/>
          <w:i w:val="false"/>
          <w:iCs w:val="false"/>
          <w:sz w:val="22"/>
          <w:szCs w:val="22"/>
        </w:rPr>
        <w:t xml:space="preserve">Transaction amount and account age together account for nearly two-thirds of the model's decision-making, suggesting that large transactions from newer or less-established accounts are the strongest early-warning signals in this dataset — a pattern that aligns with common real-world fraud typologies.</w:t>
      </w:r>
    </w:p>
    <w:p>
      <w:pPr>
        <w:pStyle w:val="Heading1"/>
        <w:pBdr>
          <w:bottom w:val="single" w:color="1F3864" w:sz="6" w:space="4"/>
        </w:pBdr>
        <w:spacing w:after="160" w:before="360"/>
      </w:pPr>
      <w:r>
        <w:rPr>
          <w:b/>
          <w:bCs/>
          <w:color w:val="1F3864"/>
          <w:sz w:val="30"/>
          <w:szCs w:val="30"/>
        </w:rPr>
        <w:t xml:space="preserve">8. Risk-Scoring &amp; Decision System</w:t>
      </w:r>
    </w:p>
    <w:p>
      <w:pPr>
        <w:spacing w:after="160" w:line="276"/>
      </w:pPr>
      <w:r>
        <w:rPr>
          <w:b w:val="false"/>
          <w:bCs w:val="false"/>
          <w:i w:val="false"/>
          <w:iCs w:val="false"/>
          <w:sz w:val="22"/>
          <w:szCs w:val="22"/>
        </w:rPr>
        <w:t xml:space="preserve">The model's fraud probability output was converted into a simple, three-tier decision system that mirrors how a payments platform might automate its response to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059"/>
        <w:gridCol w:w="4680"/>
      </w:tblGrid>
      <w:tr>
        <w:trPr>
          <w:tblHeader/>
        </w:trPr>
        <w:tc>
          <w:tcPr>
            <w:tcW w:type="dxa" w:w="2621"/>
            <w:shd w:fill="1F3864" w:val="clear"/>
            <w:tcMar>
              <w:top w:type="dxa" w:w="80"/>
              <w:left w:type="dxa" w:w="100"/>
              <w:bottom w:type="dxa" w:w="80"/>
              <w:right w:type="dxa" w:w="100"/>
            </w:tcMar>
            <w:vAlign w:val="center"/>
          </w:tcPr>
          <w:p>
            <w:r>
              <w:rPr>
                <w:b/>
                <w:bCs/>
                <w:color w:val="FFFFFF"/>
                <w:sz w:val="20"/>
                <w:szCs w:val="20"/>
              </w:rPr>
              <w:t xml:space="preserve">Fraud Probability</w:t>
            </w:r>
          </w:p>
        </w:tc>
        <w:tc>
          <w:tcPr>
            <w:tcW w:type="dxa" w:w="2059"/>
            <w:shd w:fill="1F3864" w:val="clear"/>
            <w:tcMar>
              <w:top w:type="dxa" w:w="80"/>
              <w:left w:type="dxa" w:w="100"/>
              <w:bottom w:type="dxa" w:w="80"/>
              <w:right w:type="dxa" w:w="100"/>
            </w:tcMar>
            <w:vAlign w:val="center"/>
          </w:tcPr>
          <w:p>
            <w:r>
              <w:rPr>
                <w:b/>
                <w:bCs/>
                <w:color w:val="FFFFFF"/>
                <w:sz w:val="20"/>
                <w:szCs w:val="20"/>
              </w:rPr>
              <w:t xml:space="preserve">Risk Level</w:t>
            </w:r>
          </w:p>
        </w:tc>
        <w:tc>
          <w:tcPr>
            <w:tcW w:type="dxa" w:w="4680"/>
            <w:shd w:fill="1F3864" w:val="clear"/>
            <w:tcMar>
              <w:top w:type="dxa" w:w="80"/>
              <w:left w:type="dxa" w:w="100"/>
              <w:bottom w:type="dxa" w:w="80"/>
              <w:right w:type="dxa" w:w="100"/>
            </w:tcMar>
            <w:vAlign w:val="center"/>
          </w:tcPr>
          <w:p>
            <w:r>
              <w:rPr>
                <w:b/>
                <w:bCs/>
                <w:color w:val="FFFFFF"/>
                <w:sz w:val="20"/>
                <w:szCs w:val="20"/>
              </w:rPr>
              <w:t xml:space="preserve">Decision</w:t>
            </w:r>
          </w:p>
        </w:tc>
      </w:tr>
      <w:tr>
        <w:tc>
          <w:tcPr>
            <w:tcW w:type="dxa" w:w="2621"/>
            <w:tcMar>
              <w:top w:type="dxa" w:w="80"/>
              <w:left w:type="dxa" w:w="100"/>
              <w:bottom w:type="dxa" w:w="80"/>
              <w:right w:type="dxa" w:w="100"/>
            </w:tcMar>
            <w:vAlign w:val="center"/>
          </w:tcPr>
          <w:p>
            <w:r>
              <w:rPr>
                <w:b w:val="false"/>
                <w:bCs w:val="false"/>
                <w:color w:val="000000"/>
                <w:sz w:val="20"/>
                <w:szCs w:val="20"/>
              </w:rPr>
              <w:t xml:space="preserve">Below 30%</w:t>
            </w:r>
          </w:p>
        </w:tc>
        <w:tc>
          <w:tcPr>
            <w:tcW w:type="dxa" w:w="2059"/>
            <w:tcMar>
              <w:top w:type="dxa" w:w="80"/>
              <w:left w:type="dxa" w:w="100"/>
              <w:bottom w:type="dxa" w:w="80"/>
              <w:right w:type="dxa" w:w="100"/>
            </w:tcMar>
            <w:vAlign w:val="center"/>
          </w:tcPr>
          <w:p>
            <w:r>
              <w:rPr>
                <w:b w:val="false"/>
                <w:bCs w:val="false"/>
                <w:color w:val="000000"/>
                <w:sz w:val="20"/>
                <w:szCs w:val="20"/>
              </w:rPr>
              <w:t xml:space="preserve">Low Risk</w:t>
            </w:r>
          </w:p>
        </w:tc>
        <w:tc>
          <w:tcPr>
            <w:tcW w:type="dxa" w:w="4680"/>
            <w:tcMar>
              <w:top w:type="dxa" w:w="80"/>
              <w:left w:type="dxa" w:w="100"/>
              <w:bottom w:type="dxa" w:w="80"/>
              <w:right w:type="dxa" w:w="100"/>
            </w:tcMar>
            <w:vAlign w:val="center"/>
          </w:tcPr>
          <w:p>
            <w:r>
              <w:rPr>
                <w:b w:val="false"/>
                <w:bCs w:val="false"/>
                <w:color w:val="000000"/>
                <w:sz w:val="20"/>
                <w:szCs w:val="20"/>
              </w:rPr>
              <w:t xml:space="preserve">APPROVE — transaction proceeds automatically</w:t>
            </w:r>
          </w:p>
        </w:tc>
      </w:tr>
      <w:tr>
        <w:tc>
          <w:tcPr>
            <w:tcW w:type="dxa" w:w="2621"/>
            <w:shd w:fill="F2F6FA" w:val="clear"/>
            <w:tcMar>
              <w:top w:type="dxa" w:w="80"/>
              <w:left w:type="dxa" w:w="100"/>
              <w:bottom w:type="dxa" w:w="80"/>
              <w:right w:type="dxa" w:w="100"/>
            </w:tcMar>
            <w:vAlign w:val="center"/>
          </w:tcPr>
          <w:p>
            <w:r>
              <w:rPr>
                <w:b w:val="false"/>
                <w:bCs w:val="false"/>
                <w:color w:val="000000"/>
                <w:sz w:val="20"/>
                <w:szCs w:val="20"/>
              </w:rPr>
              <w:t xml:space="preserve">30% – 70%</w:t>
            </w:r>
          </w:p>
        </w:tc>
        <w:tc>
          <w:tcPr>
            <w:tcW w:type="dxa" w:w="2059"/>
            <w:shd w:fill="F2F6FA" w:val="clear"/>
            <w:tcMar>
              <w:top w:type="dxa" w:w="80"/>
              <w:left w:type="dxa" w:w="100"/>
              <w:bottom w:type="dxa" w:w="80"/>
              <w:right w:type="dxa" w:w="100"/>
            </w:tcMar>
            <w:vAlign w:val="center"/>
          </w:tcPr>
          <w:p>
            <w:r>
              <w:rPr>
                <w:b w:val="false"/>
                <w:bCs w:val="false"/>
                <w:color w:val="000000"/>
                <w:sz w:val="20"/>
                <w:szCs w:val="20"/>
              </w:rPr>
              <w:t xml:space="preserve">Medium Risk</w:t>
            </w:r>
          </w:p>
        </w:tc>
        <w:tc>
          <w:tcPr>
            <w:tcW w:type="dxa" w:w="4680"/>
            <w:shd w:fill="F2F6FA" w:val="clear"/>
            <w:tcMar>
              <w:top w:type="dxa" w:w="80"/>
              <w:left w:type="dxa" w:w="100"/>
              <w:bottom w:type="dxa" w:w="80"/>
              <w:right w:type="dxa" w:w="100"/>
            </w:tcMar>
            <w:vAlign w:val="center"/>
          </w:tcPr>
          <w:p>
            <w:r>
              <w:rPr>
                <w:b w:val="false"/>
                <w:bCs w:val="false"/>
                <w:color w:val="000000"/>
                <w:sz w:val="20"/>
                <w:szCs w:val="20"/>
              </w:rPr>
              <w:t xml:space="preserve">VERIFY — additional authentication requested</w:t>
            </w:r>
          </w:p>
        </w:tc>
      </w:tr>
      <w:tr>
        <w:tc>
          <w:tcPr>
            <w:tcW w:type="dxa" w:w="2621"/>
            <w:tcMar>
              <w:top w:type="dxa" w:w="80"/>
              <w:left w:type="dxa" w:w="100"/>
              <w:bottom w:type="dxa" w:w="80"/>
              <w:right w:type="dxa" w:w="100"/>
            </w:tcMar>
            <w:vAlign w:val="center"/>
          </w:tcPr>
          <w:p>
            <w:r>
              <w:rPr>
                <w:b w:val="false"/>
                <w:bCs w:val="false"/>
                <w:color w:val="000000"/>
                <w:sz w:val="20"/>
                <w:szCs w:val="20"/>
              </w:rPr>
              <w:t xml:space="preserve">Above 70%</w:t>
            </w:r>
          </w:p>
        </w:tc>
        <w:tc>
          <w:tcPr>
            <w:tcW w:type="dxa" w:w="2059"/>
            <w:tcMar>
              <w:top w:type="dxa" w:w="80"/>
              <w:left w:type="dxa" w:w="100"/>
              <w:bottom w:type="dxa" w:w="80"/>
              <w:right w:type="dxa" w:w="100"/>
            </w:tcMar>
            <w:vAlign w:val="center"/>
          </w:tcPr>
          <w:p>
            <w:r>
              <w:rPr>
                <w:b w:val="false"/>
                <w:bCs w:val="false"/>
                <w:color w:val="000000"/>
                <w:sz w:val="20"/>
                <w:szCs w:val="20"/>
              </w:rPr>
              <w:t xml:space="preserve">High Risk</w:t>
            </w:r>
          </w:p>
        </w:tc>
        <w:tc>
          <w:tcPr>
            <w:tcW w:type="dxa" w:w="4680"/>
            <w:tcMar>
              <w:top w:type="dxa" w:w="80"/>
              <w:left w:type="dxa" w:w="100"/>
              <w:bottom w:type="dxa" w:w="80"/>
              <w:right w:type="dxa" w:w="100"/>
            </w:tcMar>
            <w:vAlign w:val="center"/>
          </w:tcPr>
          <w:p>
            <w:r>
              <w:rPr>
                <w:b w:val="false"/>
                <w:bCs w:val="false"/>
                <w:color w:val="000000"/>
                <w:sz w:val="20"/>
                <w:szCs w:val="20"/>
              </w:rPr>
              <w:t xml:space="preserve">BLOCK / INVESTIGATE — transaction held for review</w:t>
            </w:r>
          </w:p>
        </w:tc>
      </w:tr>
    </w:tbl>
    <w:p>
      <w:pPr>
        <w:spacing w:after="120"/>
      </w:pPr>
    </w:p>
    <w:p>
      <w:pPr>
        <w:pStyle w:val="Heading2"/>
        <w:spacing w:after="120" w:before="260"/>
      </w:pPr>
      <w:r>
        <w:rPr>
          <w:b/>
          <w:bCs/>
          <w:color w:val="2E74B5"/>
          <w:sz w:val="24"/>
          <w:szCs w:val="24"/>
        </w:rPr>
        <w:t xml:space="preserve">Sample Transaction Tests</w:t>
      </w:r>
    </w:p>
    <w:p>
      <w:pPr>
        <w:spacing w:after="160" w:line="276"/>
      </w:pPr>
      <w:r>
        <w:rPr>
          <w:b w:val="false"/>
          <w:bCs w:val="false"/>
          <w:i w:val="false"/>
          <w:iCs w:val="false"/>
          <w:sz w:val="22"/>
          <w:szCs w:val="22"/>
        </w:rPr>
        <w:t xml:space="preserve">The trained model and decision function were tested against two contrasting scenarios to validate real-world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123"/>
        <w:gridCol w:w="3557"/>
        <w:gridCol w:w="1404"/>
        <w:gridCol w:w="1404"/>
      </w:tblGrid>
      <w:tr>
        <w:trPr>
          <w:tblHeader/>
        </w:trPr>
        <w:tc>
          <w:tcPr>
            <w:tcW w:type="dxa" w:w="1872"/>
            <w:shd w:fill="1F3864" w:val="clear"/>
            <w:tcMar>
              <w:top w:type="dxa" w:w="80"/>
              <w:left w:type="dxa" w:w="100"/>
              <w:bottom w:type="dxa" w:w="80"/>
              <w:right w:type="dxa" w:w="100"/>
            </w:tcMar>
            <w:vAlign w:val="center"/>
          </w:tcPr>
          <w:p>
            <w:r>
              <w:rPr>
                <w:b/>
                <w:bCs/>
                <w:color w:val="FFFFFF"/>
                <w:sz w:val="20"/>
                <w:szCs w:val="20"/>
              </w:rPr>
              <w:t xml:space="preserve">Scenario</w:t>
            </w:r>
          </w:p>
        </w:tc>
        <w:tc>
          <w:tcPr>
            <w:tcW w:type="dxa" w:w="1123"/>
            <w:shd w:fill="1F3864" w:val="clear"/>
            <w:tcMar>
              <w:top w:type="dxa" w:w="80"/>
              <w:left w:type="dxa" w:w="100"/>
              <w:bottom w:type="dxa" w:w="80"/>
              <w:right w:type="dxa" w:w="100"/>
            </w:tcMar>
            <w:vAlign w:val="center"/>
          </w:tcPr>
          <w:p>
            <w:r>
              <w:rPr>
                <w:b/>
                <w:bCs/>
                <w:color w:val="FFFFFF"/>
                <w:sz w:val="20"/>
                <w:szCs w:val="20"/>
              </w:rPr>
              <w:t xml:space="preserve">Amount</w:t>
            </w:r>
          </w:p>
        </w:tc>
        <w:tc>
          <w:tcPr>
            <w:tcW w:type="dxa" w:w="3557"/>
            <w:shd w:fill="1F3864" w:val="clear"/>
            <w:tcMar>
              <w:top w:type="dxa" w:w="80"/>
              <w:left w:type="dxa" w:w="100"/>
              <w:bottom w:type="dxa" w:w="80"/>
              <w:right w:type="dxa" w:w="100"/>
            </w:tcMar>
            <w:vAlign w:val="center"/>
          </w:tcPr>
          <w:p>
            <w:r>
              <w:rPr>
                <w:b/>
                <w:bCs/>
                <w:color w:val="FFFFFF"/>
                <w:sz w:val="20"/>
                <w:szCs w:val="20"/>
              </w:rPr>
              <w:t xml:space="preserve">Key Risk Signals</w:t>
            </w:r>
          </w:p>
        </w:tc>
        <w:tc>
          <w:tcPr>
            <w:tcW w:type="dxa" w:w="1404"/>
            <w:shd w:fill="1F3864" w:val="clear"/>
            <w:tcMar>
              <w:top w:type="dxa" w:w="80"/>
              <w:left w:type="dxa" w:w="100"/>
              <w:bottom w:type="dxa" w:w="80"/>
              <w:right w:type="dxa" w:w="100"/>
            </w:tcMar>
            <w:vAlign w:val="center"/>
          </w:tcPr>
          <w:p>
            <w:r>
              <w:rPr>
                <w:b/>
                <w:bCs/>
                <w:color w:val="FFFFFF"/>
                <w:sz w:val="20"/>
                <w:szCs w:val="20"/>
              </w:rPr>
              <w:t xml:space="preserve">Fraud Probability</w:t>
            </w:r>
          </w:p>
        </w:tc>
        <w:tc>
          <w:tcPr>
            <w:tcW w:type="dxa" w:w="1404"/>
            <w:shd w:fill="1F3864" w:val="clear"/>
            <w:tcMar>
              <w:top w:type="dxa" w:w="80"/>
              <w:left w:type="dxa" w:w="100"/>
              <w:bottom w:type="dxa" w:w="80"/>
              <w:right w:type="dxa" w:w="100"/>
            </w:tcMar>
            <w:vAlign w:val="center"/>
          </w:tcPr>
          <w:p>
            <w:r>
              <w:rPr>
                <w:b/>
                <w:bCs/>
                <w:color w:val="FFFFFF"/>
                <w:sz w:val="20"/>
                <w:szCs w:val="20"/>
              </w:rPr>
              <w:t xml:space="preserve">Decision</w:t>
            </w:r>
          </w:p>
        </w:tc>
      </w:tr>
      <w:tr>
        <w:tc>
          <w:tcPr>
            <w:tcW w:type="dxa" w:w="1872"/>
            <w:tcMar>
              <w:top w:type="dxa" w:w="80"/>
              <w:left w:type="dxa" w:w="100"/>
              <w:bottom w:type="dxa" w:w="80"/>
              <w:right w:type="dxa" w:w="100"/>
            </w:tcMar>
            <w:vAlign w:val="center"/>
          </w:tcPr>
          <w:p>
            <w:r>
              <w:rPr>
                <w:b w:val="false"/>
                <w:bCs w:val="false"/>
                <w:color w:val="000000"/>
                <w:sz w:val="20"/>
                <w:szCs w:val="20"/>
              </w:rPr>
              <w:t xml:space="preserve">High-risk transaction</w:t>
            </w:r>
          </w:p>
        </w:tc>
        <w:tc>
          <w:tcPr>
            <w:tcW w:type="dxa" w:w="1123"/>
            <w:tcMar>
              <w:top w:type="dxa" w:w="80"/>
              <w:left w:type="dxa" w:w="100"/>
              <w:bottom w:type="dxa" w:w="80"/>
              <w:right w:type="dxa" w:w="100"/>
            </w:tcMar>
            <w:vAlign w:val="center"/>
          </w:tcPr>
          <w:p>
            <w:r>
              <w:rPr>
                <w:b w:val="false"/>
                <w:bCs w:val="false"/>
                <w:color w:val="000000"/>
                <w:sz w:val="20"/>
                <w:szCs w:val="20"/>
              </w:rPr>
              <w:t xml:space="preserve">₹30,000</w:t>
            </w:r>
          </w:p>
        </w:tc>
        <w:tc>
          <w:tcPr>
            <w:tcW w:type="dxa" w:w="3557"/>
            <w:tcMar>
              <w:top w:type="dxa" w:w="80"/>
              <w:left w:type="dxa" w:w="100"/>
              <w:bottom w:type="dxa" w:w="80"/>
              <w:right w:type="dxa" w:w="100"/>
            </w:tcMar>
            <w:vAlign w:val="center"/>
          </w:tcPr>
          <w:p>
            <w:r>
              <w:rPr>
                <w:b w:val="false"/>
                <w:bCs w:val="false"/>
                <w:color w:val="000000"/>
                <w:sz w:val="20"/>
                <w:szCs w:val="20"/>
              </w:rPr>
              <w:t xml:space="preserve">New device, new recipient, location change, 4 failed attempts, night transaction, 20-day-old account, 15 transactions in 24h</w:t>
            </w:r>
          </w:p>
        </w:tc>
        <w:tc>
          <w:tcPr>
            <w:tcW w:type="dxa" w:w="1404"/>
            <w:tcMar>
              <w:top w:type="dxa" w:w="80"/>
              <w:left w:type="dxa" w:w="100"/>
              <w:bottom w:type="dxa" w:w="80"/>
              <w:right w:type="dxa" w:w="100"/>
            </w:tcMar>
            <w:vAlign w:val="center"/>
          </w:tcPr>
          <w:p>
            <w:r>
              <w:rPr>
                <w:b w:val="false"/>
                <w:bCs w:val="false"/>
                <w:color w:val="000000"/>
                <w:sz w:val="20"/>
                <w:szCs w:val="20"/>
              </w:rPr>
              <w:t xml:space="preserve">81.33%</w:t>
            </w:r>
          </w:p>
        </w:tc>
        <w:tc>
          <w:tcPr>
            <w:tcW w:type="dxa" w:w="1404"/>
            <w:tcMar>
              <w:top w:type="dxa" w:w="80"/>
              <w:left w:type="dxa" w:w="100"/>
              <w:bottom w:type="dxa" w:w="80"/>
              <w:right w:type="dxa" w:w="100"/>
            </w:tcMar>
            <w:vAlign w:val="center"/>
          </w:tcPr>
          <w:p>
            <w:r>
              <w:rPr>
                <w:b w:val="false"/>
                <w:bCs w:val="false"/>
                <w:color w:val="000000"/>
                <w:sz w:val="20"/>
                <w:szCs w:val="20"/>
              </w:rPr>
              <w:t xml:space="preserve">HIGH RISK — BLOCK / INVESTIGATE</w:t>
            </w:r>
          </w:p>
        </w:tc>
      </w:tr>
      <w:tr>
        <w:tc>
          <w:tcPr>
            <w:tcW w:type="dxa" w:w="1872"/>
            <w:shd w:fill="F2F6FA" w:val="clear"/>
            <w:tcMar>
              <w:top w:type="dxa" w:w="80"/>
              <w:left w:type="dxa" w:w="100"/>
              <w:bottom w:type="dxa" w:w="80"/>
              <w:right w:type="dxa" w:w="100"/>
            </w:tcMar>
            <w:vAlign w:val="center"/>
          </w:tcPr>
          <w:p>
            <w:r>
              <w:rPr>
                <w:b w:val="false"/>
                <w:bCs w:val="false"/>
                <w:color w:val="000000"/>
                <w:sz w:val="20"/>
                <w:szCs w:val="20"/>
              </w:rPr>
              <w:t xml:space="preserve">Low-risk transaction</w:t>
            </w:r>
          </w:p>
        </w:tc>
        <w:tc>
          <w:tcPr>
            <w:tcW w:type="dxa" w:w="1123"/>
            <w:shd w:fill="F2F6FA" w:val="clear"/>
            <w:tcMar>
              <w:top w:type="dxa" w:w="80"/>
              <w:left w:type="dxa" w:w="100"/>
              <w:bottom w:type="dxa" w:w="80"/>
              <w:right w:type="dxa" w:w="100"/>
            </w:tcMar>
            <w:vAlign w:val="center"/>
          </w:tcPr>
          <w:p>
            <w:r>
              <w:rPr>
                <w:b w:val="false"/>
                <w:bCs w:val="false"/>
                <w:color w:val="000000"/>
                <w:sz w:val="20"/>
                <w:szCs w:val="20"/>
              </w:rPr>
              <w:t xml:space="preserve">₹800</w:t>
            </w:r>
          </w:p>
        </w:tc>
        <w:tc>
          <w:tcPr>
            <w:tcW w:type="dxa" w:w="3557"/>
            <w:shd w:fill="F2F6FA" w:val="clear"/>
            <w:tcMar>
              <w:top w:type="dxa" w:w="80"/>
              <w:left w:type="dxa" w:w="100"/>
              <w:bottom w:type="dxa" w:w="80"/>
              <w:right w:type="dxa" w:w="100"/>
            </w:tcMar>
            <w:vAlign w:val="center"/>
          </w:tcPr>
          <w:p>
            <w:r>
              <w:rPr>
                <w:b w:val="false"/>
                <w:bCs w:val="false"/>
                <w:color w:val="000000"/>
                <w:sz w:val="20"/>
                <w:szCs w:val="20"/>
              </w:rPr>
              <w:t xml:space="preserve">Established device and recipient, no location change, no failed attempts, 900-day-old account, 2 transactions in 24h</w:t>
            </w:r>
          </w:p>
        </w:tc>
        <w:tc>
          <w:tcPr>
            <w:tcW w:type="dxa" w:w="1404"/>
            <w:shd w:fill="F2F6FA" w:val="clear"/>
            <w:tcMar>
              <w:top w:type="dxa" w:w="80"/>
              <w:left w:type="dxa" w:w="100"/>
              <w:bottom w:type="dxa" w:w="80"/>
              <w:right w:type="dxa" w:w="100"/>
            </w:tcMar>
            <w:vAlign w:val="center"/>
          </w:tcPr>
          <w:p>
            <w:r>
              <w:rPr>
                <w:b w:val="false"/>
                <w:bCs w:val="false"/>
                <w:color w:val="000000"/>
                <w:sz w:val="20"/>
                <w:szCs w:val="20"/>
              </w:rPr>
              <w:t xml:space="preserve">9.68%</w:t>
            </w:r>
          </w:p>
        </w:tc>
        <w:tc>
          <w:tcPr>
            <w:tcW w:type="dxa" w:w="1404"/>
            <w:shd w:fill="F2F6FA" w:val="clear"/>
            <w:tcMar>
              <w:top w:type="dxa" w:w="80"/>
              <w:left w:type="dxa" w:w="100"/>
              <w:bottom w:type="dxa" w:w="80"/>
              <w:right w:type="dxa" w:w="100"/>
            </w:tcMar>
            <w:vAlign w:val="center"/>
          </w:tcPr>
          <w:p>
            <w:r>
              <w:rPr>
                <w:b w:val="false"/>
                <w:bCs w:val="false"/>
                <w:color w:val="000000"/>
                <w:sz w:val="20"/>
                <w:szCs w:val="20"/>
              </w:rPr>
              <w:t xml:space="preserve">LOW RISK — APPROVE</w:t>
            </w:r>
          </w:p>
        </w:tc>
      </w:tr>
    </w:tbl>
    <w:p>
      <w:pPr>
        <w:spacing w:after="160" w:line="276"/>
      </w:pPr>
      <w:r>
        <w:rPr>
          <w:b w:val="false"/>
          <w:bCs w:val="false"/>
          <w:i w:val="false"/>
          <w:iCs w:val="false"/>
          <w:sz w:val="22"/>
          <w:szCs w:val="22"/>
        </w:rPr>
        <w:t xml:space="preserve">These results demonstrate that the model correctly separates a clearly risky transaction pattern from a clearly normal one, giving confidence that the underlying risk signals are being learned sensibly even on synthetic data.</w:t>
      </w:r>
    </w:p>
    <w:p>
      <w:pPr>
        <w:pStyle w:val="Heading1"/>
        <w:pBdr>
          <w:bottom w:val="single" w:color="1F3864" w:sz="6" w:space="4"/>
        </w:pBdr>
        <w:spacing w:after="160" w:before="360"/>
      </w:pPr>
      <w:r>
        <w:rPr>
          <w:b/>
          <w:bCs/>
          <w:color w:val="1F3864"/>
          <w:sz w:val="30"/>
          <w:szCs w:val="30"/>
        </w:rPr>
        <w:t xml:space="preserve">9. Key Findings</w:t>
      </w:r>
    </w:p>
    <w:p>
      <w:pPr>
        <w:pStyle w:val="ListParagraph"/>
        <w:numPr>
          <w:ilvl w:val="0"/>
          <w:numId w:val="2"/>
        </w:numPr>
        <w:spacing w:after="80"/>
      </w:pPr>
      <w:r>
        <w:rPr>
          <w:sz w:val="22"/>
          <w:szCs w:val="22"/>
        </w:rPr>
        <w:t xml:space="preserve">The model achieved 80.05% accuracy and a ROC-AUC of 0.81, indicating reasonably strong discriminative ability between genuine and fraudulent transactions.</w:t>
      </w:r>
    </w:p>
    <w:p>
      <w:pPr>
        <w:pStyle w:val="ListParagraph"/>
        <w:numPr>
          <w:ilvl w:val="0"/>
          <w:numId w:val="2"/>
        </w:numPr>
        <w:spacing w:after="80"/>
      </w:pPr>
      <w:r>
        <w:rPr>
          <w:sz w:val="22"/>
          <w:szCs w:val="22"/>
        </w:rPr>
        <w:t xml:space="preserve">Transaction amount and account age are the two most influential predictors of fraud risk in this dataset, together contributing nearly 64% of the model's decision weight.</w:t>
      </w:r>
    </w:p>
    <w:p>
      <w:pPr>
        <w:pStyle w:val="ListParagraph"/>
        <w:numPr>
          <w:ilvl w:val="0"/>
          <w:numId w:val="2"/>
        </w:numPr>
        <w:spacing w:after="80"/>
      </w:pPr>
      <w:r>
        <w:rPr>
          <w:sz w:val="22"/>
          <w:szCs w:val="22"/>
        </w:rPr>
        <w:t xml:space="preserve">Behavioural signals — new device, new recipient, location change, and failed attempts — meaningfully add to fraud risk even though individually they carry less weight than amount and account age.</w:t>
      </w:r>
    </w:p>
    <w:p>
      <w:pPr>
        <w:pStyle w:val="ListParagraph"/>
        <w:numPr>
          <w:ilvl w:val="0"/>
          <w:numId w:val="2"/>
        </w:numPr>
        <w:spacing w:after="80"/>
      </w:pPr>
      <w:r>
        <w:rPr>
          <w:sz w:val="22"/>
          <w:szCs w:val="22"/>
        </w:rPr>
        <w:t xml:space="preserve">The three-tier risk framework (Approve / Verify / Block) offers a practical way to translate a probability score into an operational decision without requiring a human to review every transaction.</w:t>
      </w:r>
    </w:p>
    <w:p>
      <w:pPr>
        <w:pStyle w:val="ListParagraph"/>
        <w:numPr>
          <w:ilvl w:val="0"/>
          <w:numId w:val="2"/>
        </w:numPr>
        <w:spacing w:after="80"/>
      </w:pPr>
      <w:r>
        <w:rPr>
          <w:sz w:val="22"/>
          <w:szCs w:val="22"/>
        </w:rPr>
        <w:t xml:space="preserve">Precision and recall for the fraud class (62% / 57%) indicate the model would benefit from further tuning — such as threshold adjustment, additional features, or more advanced algorithms — before any real-world deployment.</w:t>
      </w:r>
    </w:p>
    <w:p>
      <w:pPr>
        <w:pStyle w:val="Heading1"/>
        <w:pBdr>
          <w:bottom w:val="single" w:color="1F3864" w:sz="6" w:space="4"/>
        </w:pBdr>
        <w:spacing w:after="160" w:before="360"/>
      </w:pPr>
      <w:r>
        <w:rPr>
          <w:b/>
          <w:bCs/>
          <w:color w:val="1F3864"/>
          <w:sz w:val="30"/>
          <w:szCs w:val="30"/>
        </w:rPr>
        <w:t xml:space="preserve">10. Recommendations</w:t>
      </w:r>
    </w:p>
    <w:p>
      <w:pPr>
        <w:pStyle w:val="ListParagraph"/>
        <w:numPr>
          <w:ilvl w:val="0"/>
          <w:numId w:val="2"/>
        </w:numPr>
        <w:spacing w:after="80"/>
      </w:pPr>
      <w:r>
        <w:rPr>
          <w:sz w:val="22"/>
          <w:szCs w:val="22"/>
        </w:rPr>
        <w:t xml:space="preserve">Incorporate additional real-world signals such as device fingerprinting, IP/geolocation velocity, merchant category, and transaction network graphs (linked accounts) to improve fraud recall.</w:t>
      </w:r>
    </w:p>
    <w:p>
      <w:pPr>
        <w:pStyle w:val="ListParagraph"/>
        <w:numPr>
          <w:ilvl w:val="0"/>
          <w:numId w:val="2"/>
        </w:numPr>
        <w:spacing w:after="80"/>
      </w:pPr>
      <w:r>
        <w:rPr>
          <w:sz w:val="22"/>
          <w:szCs w:val="22"/>
        </w:rPr>
        <w:t xml:space="preserve">Introduce a feedback loop where confirmed fraud/genuine outcomes are fed back into the model to enable continuous retraining and adaptation to new fraud patterns.</w:t>
      </w:r>
    </w:p>
    <w:p>
      <w:pPr>
        <w:pStyle w:val="ListParagraph"/>
        <w:numPr>
          <w:ilvl w:val="0"/>
          <w:numId w:val="2"/>
        </w:numPr>
        <w:spacing w:after="80"/>
      </w:pPr>
      <w:r>
        <w:rPr>
          <w:sz w:val="22"/>
          <w:szCs w:val="22"/>
        </w:rPr>
        <w:t xml:space="preserve">Calibrate the Medium/High risk thresholds based on the platform's actual cost trade-off between blocking genuine users (customer friction) and missing real fraud (financial loss).</w:t>
      </w:r>
    </w:p>
    <w:p>
      <w:pPr>
        <w:pStyle w:val="ListParagraph"/>
        <w:numPr>
          <w:ilvl w:val="0"/>
          <w:numId w:val="2"/>
        </w:numPr>
        <w:spacing w:after="80"/>
      </w:pPr>
      <w:r>
        <w:rPr>
          <w:sz w:val="22"/>
          <w:szCs w:val="22"/>
        </w:rPr>
        <w:t xml:space="preserve">Combine the ML model with rule-based checks (e.g., hard limits on new accounts) for an added layer of protection during the model's early deployment phase.</w:t>
      </w:r>
    </w:p>
    <w:p>
      <w:pPr>
        <w:pStyle w:val="ListParagraph"/>
        <w:numPr>
          <w:ilvl w:val="0"/>
          <w:numId w:val="2"/>
        </w:numPr>
        <w:spacing w:after="80"/>
      </w:pPr>
      <w:r>
        <w:rPr>
          <w:sz w:val="22"/>
          <w:szCs w:val="22"/>
        </w:rPr>
        <w:t xml:space="preserve">Pilot the system on a small transaction segment first, monitor false-positive rates closely, and expand gradually with human-in-the-loop review for medium-risk cases.</w:t>
      </w:r>
    </w:p>
    <w:p>
      <w:pPr>
        <w:pStyle w:val="Heading1"/>
        <w:pBdr>
          <w:bottom w:val="single" w:color="1F3864" w:sz="6" w:space="4"/>
        </w:pBdr>
        <w:spacing w:after="160" w:before="360"/>
      </w:pPr>
      <w:r>
        <w:rPr>
          <w:b/>
          <w:bCs/>
          <w:color w:val="1F3864"/>
          <w:sz w:val="30"/>
          <w:szCs w:val="30"/>
        </w:rPr>
        <w:t xml:space="preserve">11. Limitations &amp; Academic Disclaimer</w:t>
      </w:r>
    </w:p>
    <w:p>
      <w:pPr>
        <w:pStyle w:val="ListParagraph"/>
        <w:numPr>
          <w:ilvl w:val="0"/>
          <w:numId w:val="2"/>
        </w:numPr>
        <w:spacing w:after="80"/>
      </w:pPr>
      <w:r>
        <w:rPr>
          <w:sz w:val="22"/>
          <w:szCs w:val="22"/>
        </w:rPr>
        <w:t xml:space="preserve">This project uses a synthetic, programmatically generated dataset — it does not contain, reference, or approximate any real PhonePe customer or transaction data.</w:t>
      </w:r>
    </w:p>
    <w:p>
      <w:pPr>
        <w:pStyle w:val="ListParagraph"/>
        <w:numPr>
          <w:ilvl w:val="0"/>
          <w:numId w:val="2"/>
        </w:numPr>
        <w:spacing w:after="80"/>
      </w:pPr>
      <w:r>
        <w:rPr>
          <w:sz w:val="22"/>
          <w:szCs w:val="22"/>
        </w:rPr>
        <w:t xml:space="preserve">The risk-scoring thresholds and decision logic are illustrative and created for academic purposes; they are not PhonePe's actual proprietary fraud-detection methodology.</w:t>
      </w:r>
    </w:p>
    <w:p>
      <w:pPr>
        <w:pStyle w:val="ListParagraph"/>
        <w:numPr>
          <w:ilvl w:val="0"/>
          <w:numId w:val="2"/>
        </w:numPr>
        <w:spacing w:after="80"/>
      </w:pPr>
      <w:r>
        <w:rPr>
          <w:sz w:val="22"/>
          <w:szCs w:val="22"/>
        </w:rPr>
        <w:t xml:space="preserve">Real-world fraud detection systems typically combine ML models with rule engines, device intelligence, graph analysis, and human review — this project demonstrates only the ML classification component.</w:t>
      </w:r>
    </w:p>
    <w:p>
      <w:pPr>
        <w:pStyle w:val="ListParagraph"/>
        <w:numPr>
          <w:ilvl w:val="0"/>
          <w:numId w:val="2"/>
        </w:numPr>
        <w:spacing w:after="80"/>
      </w:pPr>
      <w:r>
        <w:rPr>
          <w:sz w:val="22"/>
          <w:szCs w:val="22"/>
        </w:rPr>
        <w:t xml:space="preserve">Model performance on synthetic data does not guarantee similar performance on real transaction data, which is typically noisier and more adversarial (fraudsters actively adapt to detection systems).</w:t>
      </w:r>
    </w:p>
    <w:p>
      <w:pPr>
        <w:spacing w:after="160" w:line="276"/>
      </w:pPr>
      <w:r>
        <w:rPr>
          <w:b/>
          <w:bCs/>
          <w:i/>
          <w:iCs/>
          <w:sz w:val="22"/>
          <w:szCs w:val="22"/>
        </w:rPr>
        <w:t xml:space="preserve">This project is intended purely as an academic demonstration of how Machine Learning can support fraud detection in the digital payments industry.</w:t>
      </w:r>
    </w:p>
    <w:p>
      <w:pPr>
        <w:pStyle w:val="Heading1"/>
        <w:pBdr>
          <w:bottom w:val="single" w:color="1F3864" w:sz="6" w:space="4"/>
        </w:pBdr>
        <w:spacing w:after="160" w:before="360"/>
      </w:pPr>
      <w:r>
        <w:rPr>
          <w:b/>
          <w:bCs/>
          <w:color w:val="1F3864"/>
          <w:sz w:val="30"/>
          <w:szCs w:val="30"/>
        </w:rPr>
        <w:t xml:space="preserve">12. Conclusion</w:t>
      </w:r>
    </w:p>
    <w:p>
      <w:pPr>
        <w:spacing w:after="160" w:line="276"/>
      </w:pPr>
      <w:r>
        <w:rPr>
          <w:b w:val="false"/>
          <w:bCs w:val="false"/>
          <w:i w:val="false"/>
          <w:iCs w:val="false"/>
          <w:sz w:val="22"/>
          <w:szCs w:val="22"/>
        </w:rPr>
        <w:t xml:space="preserve">This project demonstrates an end-to-end Machine Learning workflow for digital-payment fraud detection — from synthetic data generation and cleaning, through model training and evaluation, to a practical risk-decision framework and live transaction testing.</w:t>
      </w:r>
    </w:p>
    <w:p>
      <w:pPr>
        <w:pStyle w:val="Heading2"/>
        <w:spacing w:after="120" w:before="260"/>
      </w:pPr>
      <w:r>
        <w:rPr>
          <w:b/>
          <w:bCs/>
          <w:color w:val="2E74B5"/>
          <w:sz w:val="24"/>
          <w:szCs w:val="24"/>
        </w:rPr>
        <w:t xml:space="preserve">Overall Process</w:t>
      </w:r>
    </w:p>
    <w:p>
      <w:pPr>
        <w:spacing w:after="240" w:before="120"/>
        <w:jc w:val="center"/>
      </w:pPr>
      <w:r>
        <w:rPr>
          <w:b/>
          <w:bCs/>
          <w:color w:val="1F3864"/>
          <w:sz w:val="24"/>
          <w:szCs w:val="24"/>
        </w:rPr>
        <w:t xml:space="preserve">Data  →  Preprocessing  →  ML Model  →  Prediction  →  Evaluation  →  Fraud Decision</w:t>
      </w:r>
    </w:p>
    <w:p>
      <w:pPr>
        <w:spacing w:after="160" w:line="276"/>
      </w:pPr>
      <w:r>
        <w:rPr>
          <w:b w:val="false"/>
          <w:bCs w:val="false"/>
          <w:i w:val="false"/>
          <w:iCs w:val="false"/>
          <w:sz w:val="22"/>
          <w:szCs w:val="22"/>
        </w:rPr>
        <w:t xml:space="preserve">With an accuracy of 80% and an ROC-AUC of 0.81, the Random Forest model shows that even a relatively simple, well-engineered set of transaction features can meaningfully separate genuine from fraudulent behaviour. The broader goal — improving security, reducing fraud losses, and supporting safer digital payments — is one that AI/ML is well positioned to support as part of a larger, multi-layered fraud-prevention strategy at companies like PhonePe.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4b8530e50452626a975759f5d5aa4aeab25912.png"/><Relationship Id="rId8" Type="http://schemas.openxmlformats.org/officeDocument/2006/relationships/image" Target="media/3781c315f47c6a591e11c2d2b51f508c05e06c9b.png"/><Relationship Id="rId9" Type="http://schemas.openxmlformats.org/officeDocument/2006/relationships/image" Target="media/ae913b2f2c4368e5ae4e6be6e3fdf61135218e3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2026-09-17T09:28:11.888Z</dcterms:created>
  <dcterms:modified xsi:type="dcterms:W3CDTF">2026-09-17T09:28:11.898Z</dcterms:modified>
</cp:coreProperties>
</file>

<file path=docProps/custom.xml><?xml version="1.0" encoding="utf-8"?>
<Properties xmlns="http://schemas.openxmlformats.org/officeDocument/2006/custom-properties" xmlns:vt="http://schemas.openxmlformats.org/officeDocument/2006/docPropsVTypes"/>
</file>