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0E7C7B"/>
          <w:sz w:val="30"/>
          <w:szCs w:val="30"/>
        </w:rPr>
        <w:t xml:space="preserve">PART B</w:t>
      </w:r>
    </w:p>
    <w:p>
      <w:pPr>
        <w:spacing w:after="300"/>
        <w:jc w:val="center"/>
      </w:pPr>
      <w:r>
        <w:rPr>
          <w:b/>
          <w:bCs/>
          <w:color w:val="1F3864"/>
          <w:sz w:val="44"/>
          <w:szCs w:val="44"/>
        </w:rPr>
        <w:t xml:space="preserve">Prompt Portfolio &amp; AI-Assisted Research</w:t>
      </w:r>
    </w:p>
    <w:p>
      <w:pPr>
        <w:spacing w:after="60"/>
        <w:jc w:val="center"/>
      </w:pPr>
      <w:r>
        <w:rPr>
          <w:b/>
          <w:bCs/>
          <w:color w:val="262626"/>
          <w:sz w:val="26"/>
          <w:szCs w:val="26"/>
        </w:rPr>
        <w:t xml:space="preserve">Case Study Company: PhonePe</w:t>
      </w:r>
    </w:p>
    <w:p>
      <w:pPr>
        <w:spacing w:after="600"/>
        <w:jc w:val="center"/>
      </w:pPr>
      <w:r>
        <w:rPr>
          <w:i/>
          <w:iCs/>
          <w:color w:val="595959"/>
          <w:sz w:val="21"/>
          <w:szCs w:val="21"/>
        </w:rPr>
        <w:t xml:space="preserve">AI, Technology &amp; Digital Payments — Research Documentation</w:t>
      </w:r>
    </w:p>
    <w:p>
      <w:pPr>
        <w:spacing w:after="40"/>
        <w:jc w:val="center"/>
      </w:pPr>
      <w:r>
        <w:rPr>
          <w:color w:val="595959"/>
          <w:sz w:val="19"/>
          <w:szCs w:val="19"/>
        </w:rPr>
        <w:t xml:space="preserve">This section documents how AI tools were used as research assistants during the</w:t>
      </w:r>
    </w:p>
    <w:p>
      <w:pPr>
        <w:spacing w:after="40"/>
        <w:jc w:val="center"/>
      </w:pPr>
      <w:r>
        <w:rPr>
          <w:color w:val="595959"/>
          <w:sz w:val="19"/>
          <w:szCs w:val="19"/>
        </w:rPr>
        <w:t xml:space="preserve">PhonePe case study — prompts used, how they were refined, verification against</w:t>
      </w:r>
    </w:p>
    <w:p>
      <w:pPr>
        <w:spacing w:after="40"/>
        <w:jc w:val="center"/>
      </w:pPr>
      <w:r>
        <w:rPr>
          <w:color w:val="595959"/>
          <w:sz w:val="19"/>
          <w:szCs w:val="19"/>
        </w:rPr>
        <w:t xml:space="preserve">primary sources, and a critical evaluation of an AI error that was caught and corrected.</w:t>
      </w:r>
    </w:p>
    <w:p>
      <w:r>
        <w:br/>
        <w:br/>
        <w:br/>
        <w:br/>
        <w:br/>
        <w:br/>
        <w:br/>
        <w:br/>
        <w:br/>
        <w:br/>
        <w:br/>
        <w:br/>
        <w:br/>
        <w:br/>
        <w:br/>
        <w:br/>
        <w:br/>
        <w:br/>
        <w:br/>
        <w:br/>
        <w:t xml:space="preserve"/>
      </w:r>
    </w:p>
    <w:p>
      <w:pPr>
        <w:pStyle w:val="Heading1"/>
        <w:pBdr>
          <w:bottom w:val="single" w:color="0E7C7B" w:sz="8" w:space="4"/>
        </w:pBdr>
        <w:spacing w:after="160" w:before="360"/>
      </w:pPr>
      <w:r>
        <w:rPr>
          <w:b/>
          <w:bCs/>
          <w:color w:val="1F3864"/>
          <w:sz w:val="30"/>
          <w:szCs w:val="30"/>
        </w:rPr>
        <w:t xml:space="preserve">1. Prompts Used</w:t>
      </w:r>
    </w:p>
    <w:p>
      <w:pPr>
        <w:spacing w:after="140" w:line="300"/>
      </w:pPr>
      <w:r>
        <w:rPr>
          <w:color w:val="262626"/>
          <w:sz w:val="21"/>
          <w:szCs w:val="21"/>
        </w:rPr>
        <w:t xml:space="preserve">The prompts below were the key ones used while researching PhonePe's use of AI in fraud detection, credit risk and customer experience. They progressed from broad orientation to increasingly targeted, source-seeking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900"/>
      </w:tblGrid>
      <w:tr>
        <w:trPr>
          <w:tblHeader/>
        </w:trPr>
        <w:tc>
          <w:tcPr>
            <w:shd w:fill="1F3864" w:val="clear"/>
            <w:tcMar>
              <w:top w:type="dxa" w:w="100"/>
              <w:left w:type="dxa" w:w="140"/>
              <w:bottom w:type="dxa" w:w="100"/>
              <w:right w:type="dxa" w:w="140"/>
            </w:tcMar>
          </w:tcPr>
          <w:p>
            <w:r>
              <w:rPr>
                <w:b/>
                <w:bCs/>
                <w:color w:val="FFFFFF"/>
                <w:sz w:val="20"/>
                <w:szCs w:val="20"/>
              </w:rPr>
              <w:t xml:space="preserve">Purpose</w:t>
            </w:r>
          </w:p>
        </w:tc>
        <w:tc>
          <w:tcPr>
            <w:shd w:fill="1F3864" w:val="clear"/>
            <w:tcMar>
              <w:top w:type="dxa" w:w="100"/>
              <w:left w:type="dxa" w:w="140"/>
              <w:bottom w:type="dxa" w:w="100"/>
              <w:right w:type="dxa" w:w="140"/>
            </w:tcMar>
          </w:tcPr>
          <w:p>
            <w:r>
              <w:rPr>
                <w:b/>
                <w:bCs/>
                <w:color w:val="FFFFFF"/>
                <w:sz w:val="20"/>
                <w:szCs w:val="20"/>
              </w:rPr>
              <w:t xml:space="preserve">Prompt Used</w:t>
            </w:r>
          </w:p>
        </w:tc>
        <w:tc>
          <w:tcPr>
            <w:shd w:fill="1F3864" w:val="clear"/>
            <w:tcMar>
              <w:top w:type="dxa" w:w="100"/>
              <w:left w:type="dxa" w:w="140"/>
              <w:bottom w:type="dxa" w:w="100"/>
              <w:right w:type="dxa" w:w="140"/>
            </w:tcMar>
          </w:tcPr>
          <w:p>
            <w:r>
              <w:rPr>
                <w:b/>
                <w:bCs/>
                <w:color w:val="FFFFFF"/>
                <w:sz w:val="20"/>
                <w:szCs w:val="20"/>
              </w:rPr>
              <w:t xml:space="preserve">Why it was used</w:t>
            </w:r>
          </w:p>
        </w:tc>
      </w:tr>
      <w:tr>
        <w:tc>
          <w:tcPr>
            <w:shd w:fill="FFFFFF" w:val="clear"/>
            <w:tcMar>
              <w:top w:type="dxa" w:w="100"/>
              <w:left w:type="dxa" w:w="140"/>
              <w:bottom w:type="dxa" w:w="100"/>
              <w:right w:type="dxa" w:w="140"/>
            </w:tcMar>
          </w:tcPr>
          <w:p>
            <w:r>
              <w:rPr>
                <w:b/>
                <w:bCs/>
                <w:i w:val="false"/>
                <w:iCs w:val="false"/>
                <w:color w:val="1F3864"/>
                <w:sz w:val="20"/>
                <w:szCs w:val="20"/>
              </w:rPr>
              <w:t xml:space="preserve">Foundational understanding</w:t>
            </w:r>
          </w:p>
        </w:tc>
        <w:tc>
          <w:tcPr>
            <w:shd w:fill="FFFFFF" w:val="clear"/>
            <w:tcMar>
              <w:top w:type="dxa" w:w="100"/>
              <w:left w:type="dxa" w:w="140"/>
              <w:bottom w:type="dxa" w:w="100"/>
              <w:right w:type="dxa" w:w="140"/>
            </w:tcMar>
          </w:tcPr>
          <w:p>
            <w:r>
              <w:rPr>
                <w:b w:val="false"/>
                <w:bCs w:val="false"/>
                <w:i/>
                <w:iCs/>
                <w:color w:val="262626"/>
                <w:sz w:val="20"/>
                <w:szCs w:val="20"/>
              </w:rPr>
              <w:t xml:space="preserve">Explain how AI and machine learning are used in Indian fintech companies like PhonePe. Focus on fraud detection, customer support and personalisation. Provide real examples and reliable sources.</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Used at the start to get oriented on the general landscape before narrowing to PhonePe specifically.</w:t>
            </w:r>
          </w:p>
        </w:tc>
      </w:tr>
      <w:tr>
        <w:tc>
          <w:tcPr>
            <w:shd w:fill="EDF2F7" w:val="clear"/>
            <w:tcMar>
              <w:top w:type="dxa" w:w="100"/>
              <w:left w:type="dxa" w:w="140"/>
              <w:bottom w:type="dxa" w:w="100"/>
              <w:right w:type="dxa" w:w="140"/>
            </w:tcMar>
          </w:tcPr>
          <w:p>
            <w:r>
              <w:rPr>
                <w:b/>
                <w:bCs/>
                <w:i w:val="false"/>
                <w:iCs w:val="false"/>
                <w:color w:val="1F3864"/>
                <w:sz w:val="20"/>
                <w:szCs w:val="20"/>
              </w:rPr>
              <w:t xml:space="preserve">Company-specific deep dive</w:t>
            </w:r>
          </w:p>
        </w:tc>
        <w:tc>
          <w:tcPr>
            <w:shd w:fill="EDF2F7" w:val="clear"/>
            <w:tcMar>
              <w:top w:type="dxa" w:w="100"/>
              <w:left w:type="dxa" w:w="140"/>
              <w:bottom w:type="dxa" w:w="100"/>
              <w:right w:type="dxa" w:w="140"/>
            </w:tcMar>
          </w:tcPr>
          <w:p>
            <w:r>
              <w:rPr>
                <w:b w:val="false"/>
                <w:bCs w:val="false"/>
                <w:i/>
                <w:iCs/>
                <w:color w:val="262626"/>
                <w:sz w:val="20"/>
                <w:szCs w:val="20"/>
              </w:rPr>
              <w:t xml:space="preserve">Act as a fintech industry analyst. Research PhonePe's specific use of AI/ML across fraud detection, credit underwriting, customer service (chatbots), and merchant risk scoring. Cite named executives, official statements, or reports wherever possible, and flag anything that is an assumption rather than a confirmed fact.</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Added a persona, named categories, and — critically — asked the model to flag unverified claims, which reduced confident-sounding fabrication.</w:t>
            </w:r>
          </w:p>
        </w:tc>
      </w:tr>
      <w:tr>
        <w:tc>
          <w:tcPr>
            <w:shd w:fill="FFFFFF" w:val="clear"/>
            <w:tcMar>
              <w:top w:type="dxa" w:w="100"/>
              <w:left w:type="dxa" w:w="140"/>
              <w:bottom w:type="dxa" w:w="100"/>
              <w:right w:type="dxa" w:w="140"/>
            </w:tcMar>
          </w:tcPr>
          <w:p>
            <w:r>
              <w:rPr>
                <w:b/>
                <w:bCs/>
                <w:i w:val="false"/>
                <w:iCs w:val="false"/>
                <w:color w:val="1F3864"/>
                <w:sz w:val="20"/>
                <w:szCs w:val="20"/>
              </w:rPr>
              <w:t xml:space="preserve">Business model &amp; financial context</w:t>
            </w:r>
          </w:p>
        </w:tc>
        <w:tc>
          <w:tcPr>
            <w:shd w:fill="FFFFFF" w:val="clear"/>
            <w:tcMar>
              <w:top w:type="dxa" w:w="100"/>
              <w:left w:type="dxa" w:w="140"/>
              <w:bottom w:type="dxa" w:w="100"/>
              <w:right w:type="dxa" w:w="140"/>
            </w:tcMar>
          </w:tcPr>
          <w:p>
            <w:r>
              <w:rPr>
                <w:b w:val="false"/>
                <w:bCs w:val="false"/>
                <w:i/>
                <w:iCs/>
                <w:color w:val="262626"/>
                <w:sz w:val="20"/>
                <w:szCs w:val="20"/>
              </w:rPr>
              <w:t xml:space="preserve">Summarise PhonePe's revenue model, UPI market share trend, and profitability status (EBITDA/losses) as of the most recent data available. Note that UPI market share figures change monthly — ask me to verify the exact month before treating any percentage as current.</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Explicitly asked the AI to acknowledge data staleness, since valuation and market-share figures change frequently and older AI training data can lag.</w:t>
            </w:r>
          </w:p>
        </w:tc>
      </w:tr>
      <w:tr>
        <w:tc>
          <w:tcPr>
            <w:shd w:fill="EDF2F7" w:val="clear"/>
            <w:tcMar>
              <w:top w:type="dxa" w:w="100"/>
              <w:left w:type="dxa" w:w="140"/>
              <w:bottom w:type="dxa" w:w="100"/>
              <w:right w:type="dxa" w:w="140"/>
            </w:tcMar>
          </w:tcPr>
          <w:p>
            <w:r>
              <w:rPr>
                <w:b/>
                <w:bCs/>
                <w:i w:val="false"/>
                <w:iCs w:val="false"/>
                <w:color w:val="1F3864"/>
                <w:sz w:val="20"/>
                <w:szCs w:val="20"/>
              </w:rPr>
              <w:t xml:space="preserve">Structuring the case study</w:t>
            </w:r>
          </w:p>
        </w:tc>
        <w:tc>
          <w:tcPr>
            <w:shd w:fill="EDF2F7" w:val="clear"/>
            <w:tcMar>
              <w:top w:type="dxa" w:w="100"/>
              <w:left w:type="dxa" w:w="140"/>
              <w:bottom w:type="dxa" w:w="100"/>
              <w:right w:type="dxa" w:w="140"/>
            </w:tcMar>
          </w:tcPr>
          <w:p>
            <w:r>
              <w:rPr>
                <w:b w:val="false"/>
                <w:bCs w:val="false"/>
                <w:i/>
                <w:iCs/>
                <w:color w:val="262626"/>
                <w:sz w:val="20"/>
                <w:szCs w:val="20"/>
              </w:rPr>
              <w:t xml:space="preserve">I have research notes on PhonePe's AI use in fraud detection, its UPI dominance, and its IPO. Help me structure this into a case-study outline with sections: Company Overview, AI Use Cases, Business Impact, Risks &amp; Regulation, Conclusion. Do not invent content — only organise what I give you.</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Used AI purely for structuring/organising already-verified notes, not for generating new facts — reduces hallucination risk.</w:t>
            </w:r>
          </w:p>
        </w:tc>
      </w:tr>
      <w:tr>
        <w:tc>
          <w:tcPr>
            <w:shd w:fill="FFFFFF" w:val="clear"/>
            <w:tcMar>
              <w:top w:type="dxa" w:w="100"/>
              <w:left w:type="dxa" w:w="140"/>
              <w:bottom w:type="dxa" w:w="100"/>
              <w:right w:type="dxa" w:w="140"/>
            </w:tcMar>
          </w:tcPr>
          <w:p>
            <w:r>
              <w:rPr>
                <w:b/>
                <w:bCs/>
                <w:i w:val="false"/>
                <w:iCs w:val="false"/>
                <w:color w:val="1F3864"/>
                <w:sz w:val="20"/>
                <w:szCs w:val="20"/>
              </w:rPr>
              <w:t xml:space="preserve">Comparative analysis</w:t>
            </w:r>
          </w:p>
        </w:tc>
        <w:tc>
          <w:tcPr>
            <w:shd w:fill="FFFFFF" w:val="clear"/>
            <w:tcMar>
              <w:top w:type="dxa" w:w="100"/>
              <w:left w:type="dxa" w:w="140"/>
              <w:bottom w:type="dxa" w:w="100"/>
              <w:right w:type="dxa" w:w="140"/>
            </w:tcMar>
          </w:tcPr>
          <w:p>
            <w:r>
              <w:rPr>
                <w:b w:val="false"/>
                <w:bCs w:val="false"/>
                <w:i/>
                <w:iCs/>
                <w:color w:val="262626"/>
                <w:sz w:val="20"/>
                <w:szCs w:val="20"/>
              </w:rPr>
              <w:t xml:space="preserve">Compare PhonePe and Google Pay's approach to AI-driven fraud detection and customer experience in the Indian UPI market. Present this as a balanced two-column comparison and note where public information is limited for either company.</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Used for side-by-side comparison and to surface gaps in publicly available information.</w:t>
            </w:r>
          </w:p>
        </w:tc>
      </w:tr>
    </w:tbl>
    <w:p>
      <w:pPr>
        <w:pStyle w:val="Heading2"/>
        <w:spacing w:after="120" w:before="260"/>
      </w:pPr>
      <w:r>
        <w:rPr>
          <w:b/>
          <w:bCs/>
          <w:color w:val="0E7C7B"/>
          <w:sz w:val="24"/>
          <w:szCs w:val="24"/>
        </w:rPr>
        <w:t xml:space="preserve">2. Prompt Improvement</w:t>
      </w:r>
    </w:p>
    <w:p>
      <w:pPr>
        <w:spacing w:after="140" w:line="300"/>
      </w:pPr>
      <w:r>
        <w:rPr>
          <w:color w:val="262626"/>
          <w:sz w:val="21"/>
          <w:szCs w:val="21"/>
        </w:rPr>
        <w:t xml:space="preserve">One prompt was deliberately tracked through two iterations to show how specificity, role-framing and explicit source/verification requests changed the quality of the output.</w:t>
      </w:r>
    </w:p>
    <w:p>
      <w:pPr>
        <w:spacing w:after="60" w:before="100"/>
      </w:pPr>
      <w:r>
        <w:rPr>
          <w:b/>
          <w:bCs/>
          <w:color w:val="1F3864"/>
          <w:sz w:val="21"/>
          <w:szCs w:val="21"/>
        </w:rPr>
        <w:t xml:space="preserve">Basic Prompt (first attempt):</w:t>
      </w:r>
    </w:p>
    <w:tbl>
      <w:tblPr>
        <w:tblW w:type="pct" w:w="100%"/>
        <w:tblBorders>
          <w:top w:val="single" w:color="BFBFBF" w:sz="4"/>
          <w:left w:val="single" w:color="0E7C7B" w:sz="24"/>
          <w:bottom w:val="single" w:color="BFBFBF" w:sz="4"/>
          <w:right w:val="single" w:color="BFBFBF" w:sz="4"/>
          <w:insideH w:val="single" w:color="auto" w:sz="4"/>
          <w:insideV w:val="single" w:color="auto" w:sz="4"/>
        </w:tblBorders>
      </w:tblPr>
      <w:tblGrid>
        <w:gridCol w:w="100"/>
      </w:tblGrid>
      <w:tr>
        <w:tc>
          <w:tcPr>
            <w:shd w:fill="EDF2F7" w:val="clear"/>
            <w:tcMar>
              <w:top w:type="dxa" w:w="160"/>
              <w:left w:type="dxa" w:w="220"/>
              <w:bottom w:type="dxa" w:w="160"/>
              <w:right w:type="dxa" w:w="220"/>
            </w:tcMar>
          </w:tcPr>
          <w:p>
            <w:pPr>
              <w:spacing w:after="0"/>
            </w:pPr>
            <w:r>
              <w:rPr>
                <w:b w:val="false"/>
                <w:bCs w:val="false"/>
                <w:i/>
                <w:iCs/>
                <w:color w:val="262626"/>
                <w:sz w:val="21"/>
                <w:szCs w:val="21"/>
              </w:rPr>
              <w:t xml:space="preserve">“Tell me about AI in PhonePe.”</w:t>
            </w:r>
          </w:p>
        </w:tc>
      </w:tr>
    </w:tbl>
    <w:p>
      <w:pPr>
        <w:spacing w:after="60" w:before="100"/>
      </w:pPr>
      <w:r>
        <w:rPr>
          <w:b/>
          <w:bCs/>
          <w:color w:val="1F3864"/>
          <w:sz w:val="21"/>
          <w:szCs w:val="21"/>
        </w:rPr>
        <w:t xml:space="preserve">Result of the basic prompt:</w:t>
      </w:r>
    </w:p>
    <w:p>
      <w:pPr>
        <w:spacing w:after="140" w:line="300"/>
      </w:pPr>
      <w:r>
        <w:rPr>
          <w:color w:val="262626"/>
          <w:sz w:val="21"/>
          <w:szCs w:val="21"/>
        </w:rPr>
        <w:t xml:space="preserve">Produced a short, generic answer — a few vague sentences about “PhonePe uses AI for fraud detection and personalisation” with no named systems, no figures, no sources, and no distinction between confirmed facts and general industry assumptions.</w:t>
      </w:r>
    </w:p>
    <w:p>
      <w:pPr>
        <w:spacing w:after="60" w:before="100"/>
      </w:pPr>
      <w:r>
        <w:rPr>
          <w:b/>
          <w:bCs/>
          <w:color w:val="1F3864"/>
          <w:sz w:val="21"/>
          <w:szCs w:val="21"/>
        </w:rPr>
        <w:t xml:space="preserve">Improved Prompt (refined version):</w:t>
      </w:r>
    </w:p>
    <w:tbl>
      <w:tblPr>
        <w:tblW w:type="pct" w:w="100%"/>
        <w:tblBorders>
          <w:top w:val="single" w:color="BFBFBF" w:sz="4"/>
          <w:left w:val="single" w:color="0E7C7B" w:sz="24"/>
          <w:bottom w:val="single" w:color="BFBFBF" w:sz="4"/>
          <w:right w:val="single" w:color="BFBFBF" w:sz="4"/>
          <w:insideH w:val="single" w:color="auto" w:sz="4"/>
          <w:insideV w:val="single" w:color="auto" w:sz="4"/>
        </w:tblBorders>
      </w:tblPr>
      <w:tblGrid>
        <w:gridCol w:w="100"/>
      </w:tblGrid>
      <w:tr>
        <w:tc>
          <w:tcPr>
            <w:shd w:fill="EDF2F7" w:val="clear"/>
            <w:tcMar>
              <w:top w:type="dxa" w:w="160"/>
              <w:left w:type="dxa" w:w="220"/>
              <w:bottom w:type="dxa" w:w="160"/>
              <w:right w:type="dxa" w:w="220"/>
            </w:tcMar>
          </w:tcPr>
          <w:p>
            <w:pPr>
              <w:spacing w:after="80"/>
            </w:pPr>
            <w:r>
              <w:rPr>
                <w:b w:val="false"/>
                <w:bCs w:val="false"/>
                <w:i/>
                <w:iCs/>
                <w:color w:val="262626"/>
                <w:sz w:val="21"/>
                <w:szCs w:val="21"/>
              </w:rPr>
              <w:t xml:space="preserve">“Act as a fintech industry analyst. Analyse PhonePe's use of AI/ML specifically in three areas: (1) fraud and risk detection on UPI transactions, (2) customer support automation, and (3) credit-risk assessment for its lending partnerships.</w:t>
            </w:r>
          </w:p>
          <w:p>
            <w:pPr>
              <w:spacing w:after="80"/>
            </w:pPr>
            <w:r>
              <w:rPr>
                <w:b w:val="false"/>
                <w:bCs w:val="false"/>
                <w:i/>
                <w:iCs/>
                <w:color w:val="262626"/>
                <w:sz w:val="21"/>
                <w:szCs w:val="21"/>
              </w:rPr>
              <w:t xml:space="preserve">For each area, give: what PhonePe (or its CTO/leadership) has publicly said, the business benefit, and any risks or regulatory concerns.</w:t>
            </w:r>
          </w:p>
          <w:p>
            <w:pPr>
              <w:spacing w:after="0"/>
            </w:pPr>
            <w:r>
              <w:rPr>
                <w:b w:val="false"/>
                <w:bCs w:val="false"/>
                <w:i/>
                <w:iCs/>
                <w:color w:val="262626"/>
                <w:sz w:val="21"/>
                <w:szCs w:val="21"/>
              </w:rPr>
              <w:t xml:space="preserve">Cite the source or publication for each claim, and clearly mark anything you are inferring rather than confirming.”</w:t>
            </w:r>
          </w:p>
        </w:tc>
      </w:tr>
    </w:tbl>
    <w:p>
      <w:pPr>
        <w:spacing w:after="60" w:before="100"/>
      </w:pPr>
      <w:r>
        <w:rPr>
          <w:b/>
          <w:bCs/>
          <w:color w:val="1F3864"/>
          <w:sz w:val="21"/>
          <w:szCs w:val="21"/>
        </w:rPr>
        <w:t xml:space="preserve">Why the improved prompt produced a better result:</w:t>
      </w:r>
    </w:p>
    <w:p>
      <w:pPr>
        <w:pStyle w:val="ListParagraph"/>
        <w:numPr>
          <w:ilvl w:val="0"/>
          <w:numId w:val="2"/>
        </w:numPr>
        <w:spacing w:after="80" w:line="290"/>
      </w:pPr>
      <w:r>
        <w:rPr>
          <w:color w:val="262626"/>
          <w:sz w:val="21"/>
          <w:szCs w:val="21"/>
        </w:rPr>
        <w:t xml:space="preserve">Role-framing (“act as a fintech industry analyst”) pushed the tone from a generic summary toward a structured, analytical answer.</w:t>
      </w:r>
    </w:p>
    <w:p>
      <w:pPr>
        <w:pStyle w:val="ListParagraph"/>
        <w:numPr>
          <w:ilvl w:val="0"/>
          <w:numId w:val="2"/>
        </w:numPr>
        <w:spacing w:after="80" w:line="290"/>
      </w:pPr>
      <w:r>
        <w:rPr>
          <w:color w:val="262626"/>
          <w:sz w:val="21"/>
          <w:szCs w:val="21"/>
        </w:rPr>
        <w:t xml:space="preserve">Naming three specific areas instead of asking about “AI” broadly forced concrete, non-repetitive content for each category.</w:t>
      </w:r>
    </w:p>
    <w:p>
      <w:pPr>
        <w:pStyle w:val="ListParagraph"/>
        <w:numPr>
          <w:ilvl w:val="0"/>
          <w:numId w:val="2"/>
        </w:numPr>
        <w:spacing w:after="80" w:line="290"/>
      </w:pPr>
      <w:r>
        <w:rPr>
          <w:color w:val="262626"/>
          <w:sz w:val="21"/>
          <w:szCs w:val="21"/>
        </w:rPr>
        <w:t xml:space="preserve">Asking for benefits and risks together produced a more balanced answer instead of a one-sided marketing-style summary.</w:t>
      </w:r>
    </w:p>
    <w:p>
      <w:pPr>
        <w:pStyle w:val="ListParagraph"/>
        <w:numPr>
          <w:ilvl w:val="0"/>
          <w:numId w:val="2"/>
        </w:numPr>
        <w:spacing w:after="80" w:line="290"/>
      </w:pPr>
      <w:r>
        <w:rPr>
          <w:color w:val="262626"/>
          <w:sz w:val="21"/>
          <w:szCs w:val="21"/>
        </w:rPr>
        <w:t xml:space="preserve">Explicitly asking for sources and asking the model to flag inference vs. confirmed fact made it much easier to fact-check afterward — this is what surfaced the CTO statement (Rahul Chari, Inc42, April 2024) used later in the case study.</w:t>
      </w:r>
    </w:p>
    <w:p>
      <w:pPr>
        <w:spacing w:after="140" w:line="300"/>
      </w:pPr>
      <w:r>
        <w:rPr>
          <w:color w:val="262626"/>
          <w:sz w:val="21"/>
          <w:szCs w:val="21"/>
        </w:rPr>
        <w:t xml:space="preserve">This mirrors the general lesson: specificity, a defined role, explicit categories, and an explicit request for sourcing/uncertainty consistently produced more usable, verifiable research output than open-ended prompts.</w:t>
      </w:r>
    </w:p>
    <w:p>
      <w:pPr>
        <w:pStyle w:val="Heading1"/>
        <w:pBdr>
          <w:bottom w:val="single" w:color="0E7C7B" w:sz="8" w:space="4"/>
        </w:pBdr>
        <w:spacing w:after="160" w:before="360"/>
      </w:pPr>
      <w:r>
        <w:rPr>
          <w:b/>
          <w:bCs/>
          <w:color w:val="1F3864"/>
          <w:sz w:val="30"/>
          <w:szCs w:val="30"/>
        </w:rPr>
        <w:t xml:space="preserve">3. AI Tools Used</w:t>
      </w:r>
    </w:p>
    <w:p>
      <w:pPr>
        <w:spacing w:after="140" w:line="300"/>
      </w:pPr>
      <w:r>
        <w:rPr>
          <w:color w:val="262626"/>
          <w:sz w:val="21"/>
          <w:szCs w:val="21"/>
        </w:rPr>
        <w:t xml:space="preserve">Four AI tools were used at different stages of the research process, each for a distinct purpose rather than interchangeably: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shd w:fill="1F3864" w:val="clear"/>
            <w:tcMar>
              <w:top w:type="dxa" w:w="100"/>
              <w:left w:type="dxa" w:w="140"/>
              <w:bottom w:type="dxa" w:w="100"/>
              <w:right w:type="dxa" w:w="140"/>
            </w:tcMar>
          </w:tcPr>
          <w:p>
            <w:r>
              <w:rPr>
                <w:b/>
                <w:bCs/>
                <w:color w:val="FFFFFF"/>
                <w:sz w:val="20"/>
                <w:szCs w:val="20"/>
              </w:rPr>
              <w:t xml:space="preserve">AI Tool</w:t>
            </w:r>
          </w:p>
        </w:tc>
        <w:tc>
          <w:tcPr>
            <w:shd w:fill="1F3864" w:val="clear"/>
            <w:tcMar>
              <w:top w:type="dxa" w:w="100"/>
              <w:left w:type="dxa" w:w="140"/>
              <w:bottom w:type="dxa" w:w="100"/>
              <w:right w:type="dxa" w:w="140"/>
            </w:tcMar>
          </w:tcPr>
          <w:p>
            <w:r>
              <w:rPr>
                <w:b/>
                <w:bCs/>
                <w:color w:val="FFFFFF"/>
                <w:sz w:val="20"/>
                <w:szCs w:val="20"/>
              </w:rPr>
              <w:t xml:space="preserve">How it was used in this project</w:t>
            </w:r>
          </w:p>
        </w:tc>
      </w:tr>
      <w:tr>
        <w:tc>
          <w:tcPr>
            <w:shd w:fill="FFFFFF" w:val="clear"/>
            <w:tcMar>
              <w:top w:type="dxa" w:w="100"/>
              <w:left w:type="dxa" w:w="140"/>
              <w:bottom w:type="dxa" w:w="100"/>
              <w:right w:type="dxa" w:w="140"/>
            </w:tcMar>
          </w:tcPr>
          <w:p>
            <w:r>
              <w:rPr>
                <w:b/>
                <w:bCs/>
                <w:i w:val="false"/>
                <w:iCs w:val="false"/>
                <w:color w:val="0E7C7B"/>
                <w:sz w:val="20"/>
                <w:szCs w:val="20"/>
              </w:rPr>
              <w:t xml:space="preserve">Claude</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Used for structuring the case study, comparing and synthesising long-form information (e.g., reconciling multiple UPI market-share figures from different dates), and drafting this Part B documentation.</w:t>
            </w:r>
          </w:p>
        </w:tc>
      </w:tr>
      <w:tr>
        <w:tc>
          <w:tcPr>
            <w:shd w:fill="EDF2F7" w:val="clear"/>
            <w:tcMar>
              <w:top w:type="dxa" w:w="100"/>
              <w:left w:type="dxa" w:w="140"/>
              <w:bottom w:type="dxa" w:w="100"/>
              <w:right w:type="dxa" w:w="140"/>
            </w:tcMar>
          </w:tcPr>
          <w:p>
            <w:r>
              <w:rPr>
                <w:b/>
                <w:bCs/>
                <w:i w:val="false"/>
                <w:iCs w:val="false"/>
                <w:color w:val="0E7C7B"/>
                <w:sz w:val="20"/>
                <w:szCs w:val="20"/>
              </w:rPr>
              <w:t xml:space="preserve">ChatGPT</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Used for early concept understanding — explaining ML terms like anomaly detection, credit scoring models, and NLP-based chatbots in plain language before diving into PhonePe specifically.</w:t>
            </w:r>
          </w:p>
        </w:tc>
      </w:tr>
      <w:tr>
        <w:tc>
          <w:tcPr>
            <w:shd w:fill="FFFFFF" w:val="clear"/>
            <w:tcMar>
              <w:top w:type="dxa" w:w="100"/>
              <w:left w:type="dxa" w:w="140"/>
              <w:bottom w:type="dxa" w:w="100"/>
              <w:right w:type="dxa" w:w="140"/>
            </w:tcMar>
          </w:tcPr>
          <w:p>
            <w:r>
              <w:rPr>
                <w:b/>
                <w:bCs/>
                <w:i w:val="false"/>
                <w:iCs w:val="false"/>
                <w:color w:val="0E7C7B"/>
                <w:sz w:val="20"/>
                <w:szCs w:val="20"/>
              </w:rPr>
              <w:t xml:space="preserve">Perplexity</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Used for finding and cross-referencing recent news sources on PhonePe's IPO, valuation, and UPI market share, since it surfaces citations alongside answers.</w:t>
            </w:r>
          </w:p>
        </w:tc>
      </w:tr>
      <w:tr>
        <w:tc>
          <w:tcPr>
            <w:shd w:fill="EDF2F7" w:val="clear"/>
            <w:tcMar>
              <w:top w:type="dxa" w:w="100"/>
              <w:left w:type="dxa" w:w="140"/>
              <w:bottom w:type="dxa" w:w="100"/>
              <w:right w:type="dxa" w:w="140"/>
            </w:tcMar>
          </w:tcPr>
          <w:p>
            <w:r>
              <w:rPr>
                <w:b/>
                <w:bCs/>
                <w:i w:val="false"/>
                <w:iCs w:val="false"/>
                <w:color w:val="0E7C7B"/>
                <w:sz w:val="20"/>
                <w:szCs w:val="20"/>
              </w:rPr>
              <w:t xml:space="preserve">Gemini</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Used to explore and refine research questions — e.g., turning “what is PhonePe’s AI strategy” into narrower, answerable sub-questions about fraud detection, lending, and customer service.</w:t>
            </w:r>
          </w:p>
        </w:tc>
      </w:tr>
    </w:tbl>
    <w:p>
      <w:pPr>
        <w:pStyle w:val="Heading1"/>
        <w:pBdr>
          <w:bottom w:val="single" w:color="0E7C7B" w:sz="8" w:space="4"/>
        </w:pBdr>
        <w:spacing w:after="160" w:before="360"/>
      </w:pPr>
      <w:r>
        <w:rPr>
          <w:b/>
          <w:bCs/>
          <w:color w:val="1F3864"/>
          <w:sz w:val="30"/>
          <w:szCs w:val="30"/>
        </w:rPr>
        <w:t xml:space="preserve">4. Verification &amp; Fact-Checking</w:t>
      </w:r>
    </w:p>
    <w:p>
      <w:pPr>
        <w:spacing w:after="140" w:line="300"/>
      </w:pPr>
      <w:r>
        <w:rPr>
          <w:color w:val="262626"/>
          <w:sz w:val="21"/>
          <w:szCs w:val="21"/>
        </w:rPr>
        <w:t xml:space="preserve">AI-generated claims about PhonePe were not accepted at face value. Each material claim used in the final case study was checked against a dated, named, publicly available source — primarily news coverage of PhonePe's IPO filing, NPCI transaction data as reported by financial media, and a direct interview with PhonePe's co-founder and 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500"/>
        <w:gridCol w:w="2700"/>
      </w:tblGrid>
      <w:tr>
        <w:trPr>
          <w:tblHeader/>
        </w:trPr>
        <w:tc>
          <w:tcPr>
            <w:shd w:fill="1F3864" w:val="clear"/>
            <w:tcMar>
              <w:top w:type="dxa" w:w="100"/>
              <w:left w:type="dxa" w:w="140"/>
              <w:bottom w:type="dxa" w:w="100"/>
              <w:right w:type="dxa" w:w="140"/>
            </w:tcMar>
          </w:tcPr>
          <w:p>
            <w:r>
              <w:rPr>
                <w:b/>
                <w:bCs/>
                <w:color w:val="FFFFFF"/>
                <w:sz w:val="20"/>
                <w:szCs w:val="20"/>
              </w:rPr>
              <w:t xml:space="preserve">Claim from AI Research</w:t>
            </w:r>
          </w:p>
        </w:tc>
        <w:tc>
          <w:tcPr>
            <w:shd w:fill="1F3864" w:val="clear"/>
            <w:tcMar>
              <w:top w:type="dxa" w:w="100"/>
              <w:left w:type="dxa" w:w="140"/>
              <w:bottom w:type="dxa" w:w="100"/>
              <w:right w:type="dxa" w:w="140"/>
            </w:tcMar>
          </w:tcPr>
          <w:p>
            <w:r>
              <w:rPr>
                <w:b/>
                <w:bCs/>
                <w:color w:val="FFFFFF"/>
                <w:sz w:val="20"/>
                <w:szCs w:val="20"/>
              </w:rPr>
              <w:t xml:space="preserve">Verified Against</w:t>
            </w:r>
          </w:p>
        </w:tc>
        <w:tc>
          <w:tcPr>
            <w:shd w:fill="1F3864" w:val="clear"/>
            <w:tcMar>
              <w:top w:type="dxa" w:w="100"/>
              <w:left w:type="dxa" w:w="140"/>
              <w:bottom w:type="dxa" w:w="100"/>
              <w:right w:type="dxa" w:w="140"/>
            </w:tcMar>
          </w:tcPr>
          <w:p>
            <w:r>
              <w:rPr>
                <w:b/>
                <w:bCs/>
                <w:color w:val="FFFFFF"/>
                <w:sz w:val="20"/>
                <w:szCs w:val="20"/>
              </w:rPr>
              <w:t xml:space="preserve">Verification Outcome</w:t>
            </w:r>
          </w:p>
        </w:tc>
      </w:tr>
      <w:tr>
        <w:tc>
          <w:tcPr>
            <w:shd w:fill="FFFFFF" w:val="clear"/>
            <w:tcMar>
              <w:top w:type="dxa" w:w="100"/>
              <w:left w:type="dxa" w:w="140"/>
              <w:bottom w:type="dxa" w:w="100"/>
              <w:right w:type="dxa" w:w="140"/>
            </w:tcMar>
          </w:tcPr>
          <w:p>
            <w:r>
              <w:rPr>
                <w:b w:val="false"/>
                <w:bCs w:val="false"/>
                <w:i w:val="false"/>
                <w:iCs w:val="false"/>
                <w:color w:val="262626"/>
                <w:sz w:val="20"/>
                <w:szCs w:val="20"/>
              </w:rPr>
              <w:t xml:space="preserve">PhonePe uses ML models extensively for fraud and risk detection on transactions</w:t>
            </w:r>
          </w:p>
        </w:tc>
        <w:tc>
          <w:tcPr>
            <w:shd w:fill="FFFFFF" w:val="clear"/>
            <w:tcMar>
              <w:top w:type="dxa" w:w="100"/>
              <w:left w:type="dxa" w:w="140"/>
              <w:bottom w:type="dxa" w:w="100"/>
              <w:right w:type="dxa" w:w="140"/>
            </w:tcMar>
          </w:tcPr>
          <w:p>
            <w:r>
              <w:rPr>
                <w:b w:val="false"/>
                <w:bCs w:val="false"/>
                <w:i/>
                <w:iCs/>
                <w:color w:val="262626"/>
                <w:sz w:val="20"/>
                <w:szCs w:val="20"/>
              </w:rPr>
              <w:t xml:space="preserve">Inc42 interview with PhonePe CTO &amp; co-founder Rahul Chari, 3 Apr 2024, at Inc42's GenAI Summit</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Confirmed — direct quote from company leadership</w:t>
            </w:r>
          </w:p>
        </w:tc>
      </w:tr>
      <w:tr>
        <w:tc>
          <w:tcPr>
            <w:shd w:fill="EDF2F7" w:val="clear"/>
            <w:tcMar>
              <w:top w:type="dxa" w:w="100"/>
              <w:left w:type="dxa" w:w="140"/>
              <w:bottom w:type="dxa" w:w="100"/>
              <w:right w:type="dxa" w:w="140"/>
            </w:tcMar>
          </w:tcPr>
          <w:p>
            <w:r>
              <w:rPr>
                <w:b w:val="false"/>
                <w:bCs w:val="false"/>
                <w:i w:val="false"/>
                <w:iCs w:val="false"/>
                <w:color w:val="262626"/>
                <w:sz w:val="20"/>
                <w:szCs w:val="20"/>
              </w:rPr>
              <w:t xml:space="preserve">PhonePe's UPI market share is roughly 46–49% of transaction volume/value (figure fluctuates monthly)</w:t>
            </w:r>
          </w:p>
        </w:tc>
        <w:tc>
          <w:tcPr>
            <w:shd w:fill="EDF2F7" w:val="clear"/>
            <w:tcMar>
              <w:top w:type="dxa" w:w="100"/>
              <w:left w:type="dxa" w:w="140"/>
              <w:bottom w:type="dxa" w:w="100"/>
              <w:right w:type="dxa" w:w="140"/>
            </w:tcMar>
          </w:tcPr>
          <w:p>
            <w:r>
              <w:rPr>
                <w:b w:val="false"/>
                <w:bCs w:val="false"/>
                <w:i/>
                <w:iCs/>
                <w:color w:val="262626"/>
                <w:sz w:val="20"/>
                <w:szCs w:val="20"/>
              </w:rPr>
              <w:t xml:space="preserve">NPCI monthly data as reported via multiple outlets (MediaNama, Groww IPO filing summary, Business Today) covering Aug–Sep 2025</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Confirmed as a range, not a single fixed number — changes month to month</w:t>
            </w:r>
          </w:p>
        </w:tc>
      </w:tr>
      <w:tr>
        <w:tc>
          <w:tcPr>
            <w:shd w:fill="FFFFFF" w:val="clear"/>
            <w:tcMar>
              <w:top w:type="dxa" w:w="100"/>
              <w:left w:type="dxa" w:w="140"/>
              <w:bottom w:type="dxa" w:w="100"/>
              <w:right w:type="dxa" w:w="140"/>
            </w:tcMar>
          </w:tcPr>
          <w:p>
            <w:r>
              <w:rPr>
                <w:b w:val="false"/>
                <w:bCs w:val="false"/>
                <w:i w:val="false"/>
                <w:iCs w:val="false"/>
                <w:color w:val="262626"/>
                <w:sz w:val="20"/>
                <w:szCs w:val="20"/>
              </w:rPr>
              <w:t xml:space="preserve">PhonePe filed for an IPO targeting a valuation in the $9–$15 billion range depending on the reporting period</w:t>
            </w:r>
          </w:p>
        </w:tc>
        <w:tc>
          <w:tcPr>
            <w:shd w:fill="FFFFFF" w:val="clear"/>
            <w:tcMar>
              <w:top w:type="dxa" w:w="100"/>
              <w:left w:type="dxa" w:w="140"/>
              <w:bottom w:type="dxa" w:w="100"/>
              <w:right w:type="dxa" w:w="140"/>
            </w:tcMar>
          </w:tcPr>
          <w:p>
            <w:r>
              <w:rPr>
                <w:b w:val="false"/>
                <w:bCs w:val="false"/>
                <w:i/>
                <w:iCs/>
                <w:color w:val="262626"/>
                <w:sz w:val="20"/>
                <w:szCs w:val="20"/>
              </w:rPr>
              <w:t xml:space="preserve">MediaNama (Sep 2025) and Groww IPO prospectus summary; later reports show a revised lower range in 2026</w:t>
            </w:r>
          </w:p>
        </w:tc>
        <w:tc>
          <w:tcPr>
            <w:shd w:fill="FFFFFF" w:val="clear"/>
            <w:tcMar>
              <w:top w:type="dxa" w:w="100"/>
              <w:left w:type="dxa" w:w="140"/>
              <w:bottom w:type="dxa" w:w="100"/>
              <w:right w:type="dxa" w:w="140"/>
            </w:tcMar>
          </w:tcPr>
          <w:p>
            <w:r>
              <w:rPr>
                <w:b w:val="false"/>
                <w:bCs w:val="false"/>
                <w:i w:val="false"/>
                <w:iCs w:val="false"/>
                <w:color w:val="262626"/>
                <w:sz w:val="20"/>
                <w:szCs w:val="20"/>
              </w:rPr>
              <w:t xml:space="preserve">Confirmed, but value is time-sensitive — must cite the reporting date alongside the figure</w:t>
            </w:r>
          </w:p>
        </w:tc>
      </w:tr>
      <w:tr>
        <w:tc>
          <w:tcPr>
            <w:shd w:fill="EDF2F7" w:val="clear"/>
            <w:tcMar>
              <w:top w:type="dxa" w:w="100"/>
              <w:left w:type="dxa" w:w="140"/>
              <w:bottom w:type="dxa" w:w="100"/>
              <w:right w:type="dxa" w:w="140"/>
            </w:tcMar>
          </w:tcPr>
          <w:p>
            <w:r>
              <w:rPr>
                <w:b w:val="false"/>
                <w:bCs w:val="false"/>
                <w:i w:val="false"/>
                <w:iCs w:val="false"/>
                <w:color w:val="262626"/>
                <w:sz w:val="20"/>
                <w:szCs w:val="20"/>
              </w:rPr>
              <w:t xml:space="preserve">PhonePe processes roughly $230–240 million in daily transactions relevant to fraud-risk monitoring (CTO's figure, 2024)</w:t>
            </w:r>
          </w:p>
        </w:tc>
        <w:tc>
          <w:tcPr>
            <w:shd w:fill="EDF2F7" w:val="clear"/>
            <w:tcMar>
              <w:top w:type="dxa" w:w="100"/>
              <w:left w:type="dxa" w:w="140"/>
              <w:bottom w:type="dxa" w:w="100"/>
              <w:right w:type="dxa" w:w="140"/>
            </w:tcMar>
          </w:tcPr>
          <w:p>
            <w:r>
              <w:rPr>
                <w:b w:val="false"/>
                <w:bCs w:val="false"/>
                <w:i/>
                <w:iCs/>
                <w:color w:val="262626"/>
                <w:sz w:val="20"/>
                <w:szCs w:val="20"/>
              </w:rPr>
              <w:t xml:space="preserve">Inc42, Rahul Chari interview, Apr 2024</w:t>
            </w:r>
          </w:p>
        </w:tc>
        <w:tc>
          <w:tcPr>
            <w:shd w:fill="EDF2F7" w:val="clear"/>
            <w:tcMar>
              <w:top w:type="dxa" w:w="100"/>
              <w:left w:type="dxa" w:w="140"/>
              <w:bottom w:type="dxa" w:w="100"/>
              <w:right w:type="dxa" w:w="140"/>
            </w:tcMar>
          </w:tcPr>
          <w:p>
            <w:r>
              <w:rPr>
                <w:b w:val="false"/>
                <w:bCs w:val="false"/>
                <w:i w:val="false"/>
                <w:iCs w:val="false"/>
                <w:color w:val="262626"/>
                <w:sz w:val="20"/>
                <w:szCs w:val="20"/>
              </w:rPr>
              <w:t xml:space="preserve">Confirmed as a company-stated figure at that point in time, not independently audited</w:t>
            </w:r>
          </w:p>
        </w:tc>
      </w:tr>
    </w:tbl>
    <w:p>
      <w:pPr>
        <w:pStyle w:val="Heading2"/>
        <w:spacing w:after="120" w:before="260"/>
      </w:pPr>
      <w:r>
        <w:rPr>
          <w:b/>
          <w:bCs/>
          <w:color w:val="0E7C7B"/>
          <w:sz w:val="24"/>
          <w:szCs w:val="24"/>
        </w:rPr>
        <w:t xml:space="preserve">5. Critical Evaluation of AI Output</w:t>
      </w:r>
    </w:p>
    <w:p>
      <w:pPr>
        <w:spacing w:after="60" w:before="100"/>
      </w:pPr>
      <w:r>
        <w:rPr>
          <w:b/>
          <w:bCs/>
          <w:color w:val="1F3864"/>
          <w:sz w:val="21"/>
          <w:szCs w:val="21"/>
        </w:rPr>
        <w:t xml:space="preserve">What problem did we identify?</w:t>
      </w:r>
    </w:p>
    <w:p>
      <w:pPr>
        <w:spacing w:after="140" w:line="300"/>
      </w:pPr>
      <w:r>
        <w:rPr>
          <w:color w:val="262626"/>
          <w:sz w:val="21"/>
          <w:szCs w:val="21"/>
        </w:rPr>
        <w:t xml:space="preserve">When asked “What is PhonePe's current UPI market share and valuation?”, different AI tools (and even the same tool on different days) gave noticeably different, confidently-stated single numbers rather than a range — for example, one response stated PhonePe's valuation as “$12 billion” as though it were current, when that figure was actually from PhonePe's May 2023 private funding round. Later reporting through 2025–26 shows the number moved substantially (a ~$14.5B private valuation in Oct 2025, IPO targets discussed as high as $15B, then revised down to roughly $9–$10.5B by early-to-mid 2026). Similarly, UPI market-share figures were quoted anywhere between 46% and 49% by different sources without the AI clarifying that this is a moving monthly figure, not a fixed statistic.</w:t>
      </w:r>
    </w:p>
    <w:p>
      <w:pPr>
        <w:spacing w:after="60" w:before="100"/>
      </w:pPr>
      <w:r>
        <w:rPr>
          <w:b/>
          <w:bCs/>
          <w:color w:val="1F3864"/>
          <w:sz w:val="21"/>
          <w:szCs w:val="21"/>
        </w:rPr>
        <w:t xml:space="preserve">How did we verify it?</w:t>
      </w:r>
    </w:p>
    <w:p>
      <w:pPr>
        <w:spacing w:after="140" w:line="300"/>
      </w:pPr>
      <w:r>
        <w:rPr>
          <w:color w:val="262626"/>
          <w:sz w:val="21"/>
          <w:szCs w:val="21"/>
        </w:rPr>
        <w:t xml:space="preserve">We cross-checked the valuation and market-share claims against dated news sources (MediaNama, Business Today, Groww's IPO filing summary, and CB Insights funding data) rather than relying on the AI's single number. This showed the figures are highly time-sensitive: PhonePe's valuation alone has been reported at $12B (2023), $14.5B (Oct 2025), a stated IPO target of $13–$15B, and a revised $9–$10.5B IPO target (2026) — four different “correct” numbers depending on exactly which month is being referenced.</w:t>
      </w:r>
    </w:p>
    <w:p>
      <w:pPr>
        <w:spacing w:after="60" w:before="100"/>
      </w:pPr>
      <w:r>
        <w:rPr>
          <w:b/>
          <w:bCs/>
          <w:color w:val="1F3864"/>
          <w:sz w:val="21"/>
          <w:szCs w:val="21"/>
        </w:rPr>
        <w:t xml:space="preserve">How did we improve the prompt or research process?</w:t>
      </w:r>
    </w:p>
    <w:p>
      <w:pPr>
        <w:pStyle w:val="ListParagraph"/>
        <w:numPr>
          <w:ilvl w:val="0"/>
          <w:numId w:val="2"/>
        </w:numPr>
        <w:spacing w:after="80" w:line="290"/>
      </w:pPr>
      <w:r>
        <w:rPr>
          <w:color w:val="262626"/>
          <w:sz w:val="21"/>
          <w:szCs w:val="21"/>
        </w:rPr>
        <w:t xml:space="preserve">Added an explicit instruction to every prompt involving figures: “state the date this figure is from, and tell me if it may be outdated.”</w:t>
      </w:r>
    </w:p>
    <w:p>
      <w:pPr>
        <w:pStyle w:val="ListParagraph"/>
        <w:numPr>
          <w:ilvl w:val="0"/>
          <w:numId w:val="2"/>
        </w:numPr>
        <w:spacing w:after="80" w:line="290"/>
      </w:pPr>
      <w:r>
        <w:rPr>
          <w:color w:val="262626"/>
          <w:sz w:val="21"/>
          <w:szCs w:val="21"/>
        </w:rPr>
        <w:t xml:space="preserve">Stopped accepting a single number for fast-changing metrics (valuation, market share, user counts) and instead asked the AI to give a range with sourcing, which was then manually checked against the most recent dated article available.</w:t>
      </w:r>
    </w:p>
    <w:p>
      <w:pPr>
        <w:pStyle w:val="ListParagraph"/>
        <w:numPr>
          <w:ilvl w:val="0"/>
          <w:numId w:val="2"/>
        </w:numPr>
        <w:spacing w:after="80" w:line="290"/>
      </w:pPr>
      <w:r>
        <w:rPr>
          <w:color w:val="262626"/>
          <w:sz w:val="21"/>
          <w:szCs w:val="21"/>
        </w:rPr>
        <w:t xml:space="preserve">Adopted a rule for the whole project: any figure that could plausibly change month-to-month (market share, valuation, transaction volume) is only used in the final case study if it is paired with its as-of date and a named source — never quoted as a bare, undated number.</w:t>
      </w:r>
    </w:p>
    <w:p>
      <w:pPr>
        <w:spacing w:after="140" w:line="300"/>
      </w:pPr>
      <w:r>
        <w:rPr>
          <w:color w:val="262626"/>
          <w:sz w:val="21"/>
          <w:szCs w:val="21"/>
        </w:rPr>
        <w:t xml:space="preserve">This is a useful example of an AI output being outdated / inconsistent across time rather than outright “wrong” — the underlying figure was real at some point, but presented without a timestamp it was misleading. It reinforced the need to treat all fast-moving business metrics from AI tools as provisional until checked against a dated primary source.</w:t>
      </w:r>
    </w:p>
    <w:p>
      <w:pPr>
        <w:pStyle w:val="Heading1"/>
        <w:pBdr>
          <w:bottom w:val="single" w:color="0E7C7B" w:sz="8" w:space="4"/>
        </w:pBdr>
        <w:spacing w:after="160" w:before="360"/>
      </w:pPr>
      <w:r>
        <w:rPr>
          <w:b/>
          <w:bCs/>
          <w:color w:val="1F3864"/>
          <w:sz w:val="30"/>
          <w:szCs w:val="30"/>
        </w:rPr>
        <w:t xml:space="preserve">References</w:t>
      </w:r>
    </w:p>
    <w:p>
      <w:pPr>
        <w:spacing w:after="140" w:line="300"/>
      </w:pPr>
      <w:r>
        <w:rPr>
          <w:color w:val="262626"/>
          <w:sz w:val="21"/>
          <w:szCs w:val="21"/>
        </w:rPr>
        <w:t xml:space="preserve">The following sources were used to verify AI-generated claims and are included here and in the project GitHub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shd w:fill="1F3864" w:val="clear"/>
            <w:tcMar>
              <w:top w:type="dxa" w:w="100"/>
              <w:left w:type="dxa" w:w="140"/>
              <w:bottom w:type="dxa" w:w="100"/>
              <w:right w:type="dxa" w:w="140"/>
            </w:tcMar>
          </w:tcPr>
          <w:p>
            <w:r>
              <w:rPr>
                <w:b/>
                <w:bCs/>
                <w:color w:val="FFFFFF"/>
                <w:sz w:val="20"/>
                <w:szCs w:val="20"/>
              </w:rPr>
              <w:t xml:space="preserve">Source</w:t>
            </w:r>
          </w:p>
        </w:tc>
        <w:tc>
          <w:tcPr>
            <w:shd w:fill="1F3864" w:val="clear"/>
            <w:tcMar>
              <w:top w:type="dxa" w:w="100"/>
              <w:left w:type="dxa" w:w="140"/>
              <w:bottom w:type="dxa" w:w="100"/>
              <w:right w:type="dxa" w:w="140"/>
            </w:tcMar>
          </w:tcPr>
          <w:p>
            <w:r>
              <w:rPr>
                <w:b/>
                <w:bCs/>
                <w:color w:val="FFFFFF"/>
                <w:sz w:val="20"/>
                <w:szCs w:val="20"/>
              </w:rPr>
              <w:t xml:space="preserve">Link</w:t>
            </w:r>
          </w:p>
        </w:tc>
      </w:tr>
      <w:tr>
        <w:tc>
          <w:tcPr>
            <w:shd w:fill="FFFFFF" w:val="clear"/>
            <w:tcMar>
              <w:top w:type="dxa" w:w="100"/>
              <w:left w:type="dxa" w:w="140"/>
              <w:bottom w:type="dxa" w:w="100"/>
              <w:right w:type="dxa" w:w="140"/>
            </w:tcMar>
          </w:tcPr>
          <w:p>
            <w:r>
              <w:rPr>
                <w:b w:val="false"/>
                <w:bCs w:val="false"/>
                <w:i w:val="false"/>
                <w:iCs w:val="false"/>
                <w:color w:val="262626"/>
                <w:sz w:val="20"/>
                <w:szCs w:val="20"/>
              </w:rPr>
              <w:t xml:space="preserve">Inc42 — “PhonePe Extensively Using Machine Learning For Fraud Detection: CTO Rahul Chari” (3 Apr 2024)</w:t>
            </w:r>
          </w:p>
        </w:tc>
        <w:tc>
          <w:tcPr>
            <w:shd w:fill="FFFFFF" w:val="clear"/>
            <w:tcMar>
              <w:top w:type="dxa" w:w="100"/>
              <w:left w:type="dxa" w:w="140"/>
              <w:bottom w:type="dxa" w:w="100"/>
              <w:right w:type="dxa" w:w="140"/>
            </w:tcMar>
          </w:tcPr>
          <w:p>
            <w:hyperlink w:history="1" r:id="rIdovasondfcsggtqn58kgko">
              <w:r>
                <w:rPr>
                  <w:color w:val="1155CC"/>
                  <w:sz w:val="18"/>
                  <w:szCs w:val="18"/>
                  <w:u w:val="single"/>
                </w:rPr>
                <w:t xml:space="preserve">https://inc42.com/buzz/phonepe-extensively-using-machine-learning-for-fraud-detection-cto-rahul-chari/</w:t>
              </w:r>
            </w:hyperlink>
          </w:p>
        </w:tc>
      </w:tr>
      <w:tr>
        <w:tc>
          <w:tcPr>
            <w:shd w:fill="EDF2F7" w:val="clear"/>
            <w:tcMar>
              <w:top w:type="dxa" w:w="100"/>
              <w:left w:type="dxa" w:w="140"/>
              <w:bottom w:type="dxa" w:w="100"/>
              <w:right w:type="dxa" w:w="140"/>
            </w:tcMar>
          </w:tcPr>
          <w:p>
            <w:r>
              <w:rPr>
                <w:b w:val="false"/>
                <w:bCs w:val="false"/>
                <w:i w:val="false"/>
                <w:iCs w:val="false"/>
                <w:color w:val="262626"/>
                <w:sz w:val="20"/>
                <w:szCs w:val="20"/>
              </w:rPr>
              <w:t xml:space="preserve">Groww — PhonePe IPO summary (UPI market share, revenue, EBITDA)</w:t>
            </w:r>
          </w:p>
        </w:tc>
        <w:tc>
          <w:tcPr>
            <w:shd w:fill="EDF2F7" w:val="clear"/>
            <w:tcMar>
              <w:top w:type="dxa" w:w="100"/>
              <w:left w:type="dxa" w:w="140"/>
              <w:bottom w:type="dxa" w:w="100"/>
              <w:right w:type="dxa" w:w="140"/>
            </w:tcMar>
          </w:tcPr>
          <w:p>
            <w:hyperlink w:history="1" r:id="rIdg3piq1594xjsfwq98ytw7">
              <w:r>
                <w:rPr>
                  <w:color w:val="1155CC"/>
                  <w:sz w:val="18"/>
                  <w:szCs w:val="18"/>
                  <w:u w:val="single"/>
                </w:rPr>
                <w:t xml:space="preserve">https://groww.in/ipo/phonepe-ipo</w:t>
              </w:r>
            </w:hyperlink>
          </w:p>
        </w:tc>
      </w:tr>
      <w:tr>
        <w:tc>
          <w:tcPr>
            <w:shd w:fill="FFFFFF" w:val="clear"/>
            <w:tcMar>
              <w:top w:type="dxa" w:w="100"/>
              <w:left w:type="dxa" w:w="140"/>
              <w:bottom w:type="dxa" w:w="100"/>
              <w:right w:type="dxa" w:w="140"/>
            </w:tcMar>
          </w:tcPr>
          <w:p>
            <w:r>
              <w:rPr>
                <w:b w:val="false"/>
                <w:bCs w:val="false"/>
                <w:i w:val="false"/>
                <w:iCs w:val="false"/>
                <w:color w:val="262626"/>
                <w:sz w:val="20"/>
                <w:szCs w:val="20"/>
              </w:rPr>
              <w:t xml:space="preserve">MediaNama — “PhonePe Files Confidential $1.3B IPO With SEBI, Eyes $15B Valuation” (Sep 2025)</w:t>
            </w:r>
          </w:p>
        </w:tc>
        <w:tc>
          <w:tcPr>
            <w:shd w:fill="FFFFFF" w:val="clear"/>
            <w:tcMar>
              <w:top w:type="dxa" w:w="100"/>
              <w:left w:type="dxa" w:w="140"/>
              <w:bottom w:type="dxa" w:w="100"/>
              <w:right w:type="dxa" w:w="140"/>
            </w:tcMar>
          </w:tcPr>
          <w:p>
            <w:hyperlink w:history="1" r:id="rIdc5dukftgco153pwmgjdrg">
              <w:r>
                <w:rPr>
                  <w:color w:val="1155CC"/>
                  <w:sz w:val="18"/>
                  <w:szCs w:val="18"/>
                  <w:u w:val="single"/>
                </w:rPr>
                <w:t xml:space="preserve">https://www.medianama.com/2025/09/223-phonepe-confidential-1-3b-ipo-with-sebi-15b-valuation/</w:t>
              </w:r>
            </w:hyperlink>
          </w:p>
        </w:tc>
      </w:tr>
      <w:tr>
        <w:tc>
          <w:tcPr>
            <w:shd w:fill="EDF2F7" w:val="clear"/>
            <w:tcMar>
              <w:top w:type="dxa" w:w="100"/>
              <w:left w:type="dxa" w:w="140"/>
              <w:bottom w:type="dxa" w:w="100"/>
              <w:right w:type="dxa" w:w="140"/>
            </w:tcMar>
          </w:tcPr>
          <w:p>
            <w:r>
              <w:rPr>
                <w:b w:val="false"/>
                <w:bCs w:val="false"/>
                <w:i w:val="false"/>
                <w:iCs w:val="false"/>
                <w:color w:val="262626"/>
                <w:sz w:val="20"/>
                <w:szCs w:val="20"/>
              </w:rPr>
              <w:t xml:space="preserve">Business Today — “PhonePe becomes public entity, targets $15 billion valuation ahead of IPO”</w:t>
            </w:r>
          </w:p>
        </w:tc>
        <w:tc>
          <w:tcPr>
            <w:shd w:fill="EDF2F7" w:val="clear"/>
            <w:tcMar>
              <w:top w:type="dxa" w:w="100"/>
              <w:left w:type="dxa" w:w="140"/>
              <w:bottom w:type="dxa" w:w="100"/>
              <w:right w:type="dxa" w:w="140"/>
            </w:tcMar>
          </w:tcPr>
          <w:p>
            <w:hyperlink w:history="1" r:id="rIdsyainafkyiffle2206hom">
              <w:r>
                <w:rPr>
                  <w:color w:val="1155CC"/>
                  <w:sz w:val="18"/>
                  <w:szCs w:val="18"/>
                  <w:u w:val="single"/>
                </w:rPr>
                <w:t xml:space="preserve">https://www.businesstoday.in/latest/corporate/story/phonepe-becomes-public-entity-targets-15-billion-valuation-ahead-of-ipo-472697-2025-04-19</w:t>
              </w:r>
            </w:hyperlink>
          </w:p>
        </w:tc>
      </w:tr>
      <w:tr>
        <w:tc>
          <w:tcPr>
            <w:shd w:fill="FFFFFF" w:val="clear"/>
            <w:tcMar>
              <w:top w:type="dxa" w:w="100"/>
              <w:left w:type="dxa" w:w="140"/>
              <w:bottom w:type="dxa" w:w="100"/>
              <w:right w:type="dxa" w:w="140"/>
            </w:tcMar>
          </w:tcPr>
          <w:p>
            <w:r>
              <w:rPr>
                <w:b w:val="false"/>
                <w:bCs w:val="false"/>
                <w:i w:val="false"/>
                <w:iCs w:val="false"/>
                <w:color w:val="262626"/>
                <w:sz w:val="20"/>
                <w:szCs w:val="20"/>
              </w:rPr>
              <w:t xml:space="preserve">CB Insights — PhonePe funding &amp; valuation history</w:t>
            </w:r>
          </w:p>
        </w:tc>
        <w:tc>
          <w:tcPr>
            <w:shd w:fill="FFFFFF" w:val="clear"/>
            <w:tcMar>
              <w:top w:type="dxa" w:w="100"/>
              <w:left w:type="dxa" w:w="140"/>
              <w:bottom w:type="dxa" w:w="100"/>
              <w:right w:type="dxa" w:w="140"/>
            </w:tcMar>
          </w:tcPr>
          <w:p>
            <w:hyperlink w:history="1" r:id="rId2b1uedhxd_lus_u9crz-6">
              <w:r>
                <w:rPr>
                  <w:color w:val="1155CC"/>
                  <w:sz w:val="18"/>
                  <w:szCs w:val="18"/>
                  <w:u w:val="single"/>
                </w:rPr>
                <w:t xml:space="preserve">https://www.cbinsights.com/company/phonepe/financials</w:t>
              </w:r>
            </w:hyperlink>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vasondfcsggtqn58kgko" Type="http://schemas.openxmlformats.org/officeDocument/2006/relationships/hyperlink" Target="https://inc42.com/buzz/phonepe-extensively-using-machine-learning-for-fraud-detection-cto-rahul-chari/" TargetMode="External"/><Relationship Id="rIdg3piq1594xjsfwq98ytw7" Type="http://schemas.openxmlformats.org/officeDocument/2006/relationships/hyperlink" Target="https://groww.in/ipo/phonepe-ipo" TargetMode="External"/><Relationship Id="rIdc5dukftgco153pwmgjdrg" Type="http://schemas.openxmlformats.org/officeDocument/2006/relationships/hyperlink" Target="https://www.medianama.com/2025/09/223-phonepe-confidential-1-3b-ipo-with-sebi-15b-valuation/" TargetMode="External"/><Relationship Id="rIdsyainafkyiffle2206hom" Type="http://schemas.openxmlformats.org/officeDocument/2006/relationships/hyperlink" Target="https://www.businesstoday.in/latest/corporate/story/phonepe-becomes-public-entity-targets-15-billion-valuation-ahead-of-ipo-472697-2025-04-19" TargetMode="External"/><Relationship Id="rId2b1uedhxd_lus_u9crz-6" Type="http://schemas.openxmlformats.org/officeDocument/2006/relationships/hyperlink" Target="https://www.cbinsights.com/company/phonepe/financial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2026-09-15T19:57:59.625Z</dcterms:created>
  <dcterms:modified xsi:type="dcterms:W3CDTF">2026-09-15T19:57:59.634Z</dcterms:modified>
</cp:coreProperties>
</file>

<file path=docProps/custom.xml><?xml version="1.0" encoding="utf-8"?>
<Properties xmlns="http://schemas.openxmlformats.org/officeDocument/2006/custom-properties" xmlns:vt="http://schemas.openxmlformats.org/officeDocument/2006/docPropsVTypes"/>
</file>