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Progress Update: Calibration, RQ1, RQ2, and Hardness Clusters</w:t>
      </w:r>
    </w:p>
    <w:p>
      <w:r>
        <w:t>Arpit Joshua Elias (24257567) | MSc Artificial Intelligence</w:t>
      </w:r>
    </w:p>
    <w:p/>
    <w:p>
      <w:r>
        <w:t>Sir, I have completed the corrections and the next set of tasks from your feedback. Here is a full summary of what I did, what I found, and what I plan to do next, so you have the complete picture.</w:t>
      </w:r>
    </w:p>
    <w:p>
      <w:r>
        <w:rPr>
          <w:b/>
        </w:rPr>
        <w:t>Corrections you flagged</w:t>
      </w:r>
    </w:p>
    <w:p>
      <w:r>
        <w:t>I corrected the dummy statement: MT-TrajNet beats the dummy on three of four targets (hardness, weight RSD, tensile) but loses on dissolution (3.703 versus 3.512). I also changed the shared-encoder wording to "no statistically significant difference, suggesting the shared encoder does not harm individual task accuracy while providing a more parameter-efficient representation," rather than claiming equivalence.</w:t>
      </w:r>
    </w:p>
    <w:p>
      <w:r>
        <w:rPr>
          <w:b/>
        </w:rPr>
        <w:t>Hardness clusters mapped to product codes</w:t>
      </w:r>
    </w:p>
    <w:p>
      <w:r>
        <w:t>I checked whether the two hardness clusters correspond to product codes. They do, with no overlap. The high-hardness cluster (85 to 95) is five product codes (4, 8, 15, 20, 24), 98 batches. The low cluster is the other 20 codes, 907 batches. No code appears in both, so this is two distinct product families and belongs in the methodology. Implication: in the leave-one-product-code-out test, holding out a high-hardness code (only code 15 is both high-hardness and OOD-eligible) mixes genuine distribution shift with hardness-regime shift, so that case must be interpreted carefully.</w:t>
      </w:r>
    </w:p>
    <w:p>
      <w:r>
        <w:rPr>
          <w:b/>
        </w:rPr>
        <w:t>Calibration fix with proper split and ECE (RQ3a)</w:t>
      </w:r>
    </w:p>
    <w:p>
      <w:r>
        <w:t>I redid the calibration properly. Within each fold I now hold out a separate calibration set (distinct from the early-stopping validation set) to learn the recalibration scale, so the test set is never used to tune calibration. I also computed the expected calibration error. Results: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Target</w:t>
            </w:r>
          </w:p>
        </w:tc>
        <w:tc>
          <w:tcPr>
            <w:tcW w:type="dxa" w:w="2160"/>
          </w:tcPr>
          <w:p>
            <w:r>
              <w:rPr>
                <w:b/>
              </w:rPr>
              <w:t>PICP (90%)</w:t>
            </w:r>
          </w:p>
        </w:tc>
        <w:tc>
          <w:tcPr>
            <w:tcW w:type="dxa" w:w="2160"/>
          </w:tcPr>
          <w:p>
            <w:r>
              <w:rPr>
                <w:b/>
              </w:rPr>
              <w:t>ECE</w:t>
            </w:r>
          </w:p>
        </w:tc>
        <w:tc>
          <w:tcPr>
            <w:tcW w:type="dxa" w:w="2160"/>
          </w:tcPr>
          <w:p>
            <w:r>
              <w:rPr>
                <w:b/>
              </w:rPr>
              <w:t>Uncertainty-error corr</w:t>
            </w:r>
          </w:p>
        </w:tc>
      </w:tr>
      <w:tr>
        <w:tc>
          <w:tcPr>
            <w:tcW w:type="dxa" w:w="2160"/>
          </w:tcPr>
          <w:p>
            <w:r>
              <w:t>dissolution_av</w:t>
            </w:r>
          </w:p>
        </w:tc>
        <w:tc>
          <w:tcPr>
            <w:tcW w:type="dxa" w:w="2160"/>
          </w:tcPr>
          <w:p>
            <w:r>
              <w:t>0.758</w:t>
            </w:r>
          </w:p>
        </w:tc>
        <w:tc>
          <w:tcPr>
            <w:tcW w:type="dxa" w:w="2160"/>
          </w:tcPr>
          <w:p>
            <w:r>
              <w:t>0.080</w:t>
            </w:r>
          </w:p>
        </w:tc>
        <w:tc>
          <w:tcPr>
            <w:tcW w:type="dxa" w:w="2160"/>
          </w:tcPr>
          <w:p>
            <w:r>
              <w:t>-0.04</w:t>
            </w:r>
          </w:p>
        </w:tc>
      </w:tr>
      <w:tr>
        <w:tc>
          <w:tcPr>
            <w:tcW w:type="dxa" w:w="2160"/>
          </w:tcPr>
          <w:p>
            <w:r>
              <w:t>tbl_av_hardness</w:t>
            </w:r>
          </w:p>
        </w:tc>
        <w:tc>
          <w:tcPr>
            <w:tcW w:type="dxa" w:w="2160"/>
          </w:tcPr>
          <w:p>
            <w:r>
              <w:t>0.831</w:t>
            </w:r>
          </w:p>
        </w:tc>
        <w:tc>
          <w:tcPr>
            <w:tcW w:type="dxa" w:w="2160"/>
          </w:tcPr>
          <w:p>
            <w:r>
              <w:t>0.073</w:t>
            </w:r>
          </w:p>
        </w:tc>
        <w:tc>
          <w:tcPr>
            <w:tcW w:type="dxa" w:w="2160"/>
          </w:tcPr>
          <w:p>
            <w:r>
              <w:t>0.12</w:t>
            </w:r>
          </w:p>
        </w:tc>
      </w:tr>
      <w:tr>
        <w:tc>
          <w:tcPr>
            <w:tcW w:type="dxa" w:w="2160"/>
          </w:tcPr>
          <w:p>
            <w:r>
              <w:t>tbl_rsd_weight</w:t>
            </w:r>
          </w:p>
        </w:tc>
        <w:tc>
          <w:tcPr>
            <w:tcW w:type="dxa" w:w="2160"/>
          </w:tcPr>
          <w:p>
            <w:r>
              <w:t>0.827</w:t>
            </w:r>
          </w:p>
        </w:tc>
        <w:tc>
          <w:tcPr>
            <w:tcW w:type="dxa" w:w="2160"/>
          </w:tcPr>
          <w:p>
            <w:r>
              <w:t>0.041</w:t>
            </w:r>
          </w:p>
        </w:tc>
        <w:tc>
          <w:tcPr>
            <w:tcW w:type="dxa" w:w="2160"/>
          </w:tcPr>
          <w:p>
            <w:r>
              <w:t>0.04</w:t>
            </w:r>
          </w:p>
        </w:tc>
      </w:tr>
      <w:tr>
        <w:tc>
          <w:tcPr>
            <w:tcW w:type="dxa" w:w="2160"/>
          </w:tcPr>
          <w:p>
            <w:r>
              <w:t>fct_tensile</w:t>
            </w:r>
          </w:p>
        </w:tc>
        <w:tc>
          <w:tcPr>
            <w:tcW w:type="dxa" w:w="2160"/>
          </w:tcPr>
          <w:p>
            <w:r>
              <w:t>0.560</w:t>
            </w:r>
          </w:p>
        </w:tc>
        <w:tc>
          <w:tcPr>
            <w:tcW w:type="dxa" w:w="2160"/>
          </w:tcPr>
          <w:p>
            <w:r>
              <w:t>0.272</w:t>
            </w:r>
          </w:p>
        </w:tc>
        <w:tc>
          <w:tcPr>
            <w:tcW w:type="dxa" w:w="2160"/>
          </w:tcPr>
          <w:p>
            <w:r>
              <w:t>0.48</w:t>
            </w:r>
          </w:p>
        </w:tc>
      </w:tr>
    </w:tbl>
    <w:p>
      <w:r>
        <w:t>The uncertainty is reasonably calibrated for three targets (PICP 0.76 to 0.83, ECE 0.04 to 0.08), with tensile under-covering (PICP 0.56, ECE 0.27). These numbers are lower than my earlier ones because the scale is now learned on a held-out split rather than the test set, so they are honest. Tensile is the weakest target for uncertainty, which I will note as a limitation.</w:t>
      </w:r>
    </w:p>
    <w:p>
      <w:r>
        <w:rPr>
          <w:b/>
        </w:rPr>
        <w:t>RQ1 and RQ2 (both with Nadeau-Bengio)</w:t>
      </w:r>
    </w:p>
    <w:p>
      <w:r>
        <w:t>RQ1, MT-TrajNet versus tuned XGBoost per target: no statistically significant difference on any target (p = 0.062 to 0.506). XGBoost is numerically ahead on three targets and MT-TrajNet on weight RSD, but none of the differences are significant. Dissolution is the borderline case (p = 0.062). RQ2, single-task versus multi-task: no significant difference on any target (p = 0.357 to 0.939), so the shared encoder does not harm any target and is more parameter-efficient.</w:t>
      </w:r>
    </w:p>
    <w:p>
      <w:r>
        <w:t>Taken together: MT-TrajNet matches the strongest baseline on accuracy with no significant difference, while adding calibrated uncertainty and (next) explainability that the baselines cannot provide. That is the core contribution.</w:t>
      </w:r>
    </w:p>
    <w:p>
      <w:r>
        <w:rPr>
          <w:b/>
        </w:rPr>
        <w:t>What I will do next</w:t>
      </w:r>
    </w:p>
    <w:p>
      <w:r>
        <w:t>1. SHAP attribution (RQ3b): gradient-based SHAP (DeepSHAP/GradientExplainer), aggregated per channel and per compression phase, stratified by uncertainty, compared between high and low confidence predictions with Kendall rank correlation.</w:t>
      </w:r>
    </w:p>
    <w:p>
      <w:r>
        <w:t>2. Streamlit demo of the model with its predictions and uncertainty.</w:t>
      </w:r>
    </w:p>
    <w:p>
      <w:r>
        <w:t>3. Continue writing the methodology, including the hardness-cluster finding and the OOD interpretation.</w:t>
      </w:r>
    </w:p>
    <w:p>
      <w:r>
        <w:t>I will keep you updated on Teams as I complete each of these. Please let me know if you would like me to adjust the order or focus on anything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