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sz w:val="30"/>
          <w:szCs w:val="30"/>
        </w:rPr>
        <w:t xml:space="preserve">Data Audit and Feasibility Summary</w:t>
      </w:r>
    </w:p>
    <w:p>
      <w:pPr>
        <w:spacing w:after="20"/>
      </w:pPr>
      <w:r>
        <w:rPr>
          <w:rFonts w:ascii="Calibri" w:cs="Calibri" w:eastAsia="Calibri" w:hAnsi="Calibri"/>
          <w:b/>
          <w:bCs/>
          <w:sz w:val="21"/>
          <w:szCs w:val="21"/>
        </w:rPr>
        <w:t xml:space="preserve">Checks run before preprocessing and modelling</w:t>
      </w:r>
    </w:p>
    <w:p>
      <w:pPr>
        <w:spacing w:after="130"/>
      </w:pPr>
      <w:r>
        <w:rPr>
          <w:rFonts w:ascii="Calibri" w:cs="Calibri" w:eastAsia="Calibri" w:hAnsi="Calibri"/>
          <w:i/>
          <w:iCs/>
          <w:sz w:val="17"/>
          <w:szCs w:val="17"/>
        </w:rPr>
        <w:t xml:space="preserve">Arpit Joshua Elias  |  24257567  |  MSc in Artificial Intelligence  |  Practicum CA2  |  Prepared for 4 June meeting</w:t>
      </w:r>
    </w:p>
    <w:p>
      <w:pPr>
        <w:spacing w:after="110" w:line="276"/>
        <w:jc w:val="both"/>
      </w:pPr>
      <w:r>
        <w:rPr>
          <w:rFonts w:ascii="Calibri" w:cs="Calibri" w:eastAsia="Calibri" w:hAnsi="Calibri"/>
          <w:sz w:val="21"/>
          <w:szCs w:val="21"/>
        </w:rPr>
        <w:t xml:space="preserve">After the EDA, I ran a data audit to check the dataset is sound, and a feasibility test to confirm each research question is answerable before I commit to building the model. Both were done in Python on my own machine, with no GPU needed.</w:t>
      </w:r>
    </w:p>
    <w:p>
      <w:pPr>
        <w:spacing w:after="60" w:before="130"/>
      </w:pPr>
      <w:r>
        <w:rPr>
          <w:rFonts w:ascii="Calibri" w:cs="Calibri" w:eastAsia="Calibri" w:hAnsi="Calibri"/>
          <w:b/>
          <w:bCs/>
          <w:sz w:val="24"/>
          <w:szCs w:val="24"/>
        </w:rPr>
        <w:t xml:space="preserve">Data audit</w:t>
      </w:r>
    </w:p>
    <w:p>
      <w:pPr>
        <w:spacing w:after="110" w:line="276"/>
        <w:jc w:val="both"/>
      </w:pPr>
      <w:r>
        <w:rPr>
          <w:rFonts w:ascii="Calibri" w:cs="Calibri" w:eastAsia="Calibri" w:hAnsi="Calibri"/>
          <w:b/>
          <w:bCs/>
          <w:sz w:val="21"/>
          <w:szCs w:val="21"/>
        </w:rPr>
        <w:t xml:space="preserve">The dataset is consistent and complete. </w:t>
      </w:r>
      <w:r>
        <w:rPr>
          <w:rFonts w:ascii="Calibri" w:cs="Calibri" w:eastAsia="Calibri" w:hAnsi="Calibri"/>
          <w:sz w:val="21"/>
          <w:szCs w:val="21"/>
        </w:rPr>
        <w:t xml:space="preserve">All 1,005 batches appear in both the trajectory files and the laboratory file, with no orphans and no batch IDs shared across products. The four targets have no missing values. No sensor has impossible negative readings.</w:t>
      </w:r>
    </w:p>
    <w:p>
      <w:pPr>
        <w:spacing w:after="110" w:line="276"/>
        <w:jc w:val="both"/>
      </w:pPr>
      <w:r>
        <w:rPr>
          <w:rFonts w:ascii="Calibri" w:cs="Calibri" w:eastAsia="Calibri" w:hAnsi="Calibri"/>
          <w:b/>
          <w:bCs/>
          <w:sz w:val="21"/>
          <w:szCs w:val="21"/>
        </w:rPr>
        <w:t xml:space="preserve">Repeated rows come from minute-level timestamps, not errors. </w:t>
      </w:r>
      <w:r>
        <w:rPr>
          <w:rFonts w:ascii="Calibri" w:cs="Calibri" w:eastAsia="Calibri" w:hAnsi="Calibri"/>
          <w:sz w:val="21"/>
          <w:szCs w:val="21"/>
        </w:rPr>
        <w:t xml:space="preserve">About 16 percent of rows look identical to their neighbours. This is mainly because several files record timestamps only to the minute, so up to six 10-second readings share the same minute stamp, and during steady production consecutive readings can hold the same values. Some of these rows are also genuine production pauses. Either way the rows are real readings and must be kept, since dropping them would distort the length and timing of each batch. This is supported by the gap-indicator channel in preprocessing.</w:t>
      </w:r>
    </w:p>
    <w:p>
      <w:pPr>
        <w:spacing w:after="110" w:line="276"/>
        <w:jc w:val="both"/>
      </w:pPr>
      <w:r>
        <w:rPr>
          <w:rFonts w:ascii="Calibri" w:cs="Calibri" w:eastAsia="Calibri" w:hAnsi="Calibri"/>
          <w:b/>
          <w:bCs/>
          <w:sz w:val="21"/>
          <w:szCs w:val="21"/>
        </w:rPr>
        <w:t xml:space="preserve">Two timestamp formats exist. </w:t>
      </w:r>
      <w:r>
        <w:rPr>
          <w:rFonts w:ascii="Calibri" w:cs="Calibri" w:eastAsia="Calibri" w:hAnsi="Calibri"/>
          <w:sz w:val="21"/>
          <w:szCs w:val="21"/>
        </w:rPr>
        <w:t xml:space="preserve">Some files use a day-month-year minute format and others a year-month-day second format. Both parse correctly once the right format is applied, so preprocessing needs to detect the format per file.</w:t>
      </w:r>
    </w:p>
    <w:p>
      <w:pPr>
        <w:spacing w:after="110" w:line="276"/>
        <w:jc w:val="both"/>
      </w:pPr>
      <w:r>
        <w:rPr>
          <w:rFonts w:ascii="Calibri" w:cs="Calibri" w:eastAsia="Calibri" w:hAnsi="Calibri"/>
          <w:b/>
          <w:bCs/>
          <w:sz w:val="21"/>
          <w:szCs w:val="21"/>
        </w:rPr>
        <w:t xml:space="preserve">Leakage risk from product identity. </w:t>
      </w:r>
      <w:r>
        <w:rPr>
          <w:rFonts w:ascii="Calibri" w:cs="Calibri" w:eastAsia="Calibri" w:hAnsi="Calibri"/>
          <w:sz w:val="21"/>
          <w:szCs w:val="21"/>
        </w:rPr>
        <w:t xml:space="preserve">Product code alone explains about 89 percent of the variance in hardness and 86 percent in tensile strength. This means product identity (code, batch, strength, size) must be excluded from the model inputs, otherwise the model could score well by memorising products instead of learning from the sensors. It also confirms why leave-one-product-code-out evaluation is the honest test for RQ3a.</w:t>
      </w:r>
    </w:p>
    <w:p>
      <w:pPr>
        <w:spacing w:after="60" w:before="130"/>
      </w:pPr>
      <w:r>
        <w:rPr>
          <w:rFonts w:ascii="Calibri" w:cs="Calibri" w:eastAsia="Calibri" w:hAnsi="Calibri"/>
          <w:b/>
          <w:bCs/>
          <w:sz w:val="24"/>
          <w:szCs w:val="24"/>
        </w:rPr>
        <w:t xml:space="preserve">Feasibility test</w:t>
      </w:r>
    </w:p>
    <w:p>
      <w:pPr>
        <w:spacing w:after="110" w:line="276"/>
        <w:jc w:val="both"/>
      </w:pPr>
      <w:r>
        <w:rPr>
          <w:rFonts w:ascii="Calibri" w:cs="Calibri" w:eastAsia="Calibri" w:hAnsi="Calibri"/>
          <w:sz w:val="21"/>
          <w:szCs w:val="21"/>
        </w:rPr>
        <w:t xml:space="preserve">I trained simple leakage-safe baselines (LASSO and XGBoost on the engineered features, excluding product identity) to check each research question is answerable. This also doubles as the start of the base-paper reproduction.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tcBorders>
              <w:top w:val="single" w:color="000000" w:sz="4"/>
              <w:left w:val="single" w:color="000000" w:sz="4"/>
              <w:bottom w:val="single" w:color="000000" w:sz="4"/>
              <w:right w:val="single" w:color="000000" w:sz="4"/>
            </w:tcBorders>
            <w:shd w:fill="F2F2F2"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Research question</w:t>
            </w:r>
          </w:p>
        </w:tc>
        <w:tc>
          <w:tcPr>
            <w:tcW w:type="dxa" w:w="7200"/>
            <w:tcBorders>
              <w:top w:val="single" w:color="000000" w:sz="4"/>
              <w:left w:val="single" w:color="000000" w:sz="4"/>
              <w:bottom w:val="single" w:color="000000" w:sz="4"/>
              <w:right w:val="single" w:color="000000" w:sz="4"/>
            </w:tcBorders>
            <w:shd w:fill="F2F2F2" w:val="clear"/>
            <w:tcMar>
              <w:top w:type="dxa" w:w="30"/>
              <w:left w:type="dxa" w:w="80"/>
              <w:bottom w:type="dxa" w:w="30"/>
              <w:right w:type="dxa" w:w="80"/>
            </w:tcMar>
          </w:tcPr>
          <w:p>
            <w:pPr>
              <w:spacing w:after="0" w:line="240"/>
            </w:pPr>
            <w:r>
              <w:rPr>
                <w:rFonts w:ascii="Calibri" w:cs="Calibri" w:eastAsia="Calibri" w:hAnsi="Calibri"/>
                <w:b/>
                <w:bCs/>
                <w:sz w:val="18"/>
                <w:szCs w:val="18"/>
              </w:rPr>
              <w:t xml:space="preserve">Feasibility result</w:t>
            </w:r>
          </w:p>
        </w:tc>
      </w:tr>
      <w:t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RQ1 (raw vs engineered)</w:t>
            </w:r>
          </w:p>
        </w:tc>
        <w:tc>
          <w:tcPr>
            <w:tcW w:type="dxa" w:w="7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Answerable. Engineered features are weak on weight RSD (XGBoost RMSE 0.564 versus 0.571 for predicting the mean) and only moderate on dissolution, so raw trajectories have room to improve there. Hardness and tensile are already well predicted, so they are a harder test.</w:t>
            </w:r>
          </w:p>
        </w:tc>
      </w:tr>
      <w:t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RQ2 (multi-task)</w:t>
            </w:r>
          </w:p>
        </w:tc>
        <w:tc>
          <w:tcPr>
            <w:tcW w:type="dxa" w:w="7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Answerable. Dissolution, hardness, and tensile are coupled (correlations 0.28 to 0.52); weight RSD is independent. Multi-task learning is expected to help the coupled targets more than weight RSD.</w:t>
            </w:r>
          </w:p>
        </w:tc>
      </w:tr>
      <w:t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RQ3 (uncertainty, OOD)</w:t>
            </w:r>
          </w:p>
        </w:tc>
        <w:tc>
          <w:tcPr>
            <w:tcW w:type="dxa" w:w="7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pPr>
            <w:r>
              <w:rPr>
                <w:rFonts w:ascii="Calibri" w:cs="Calibri" w:eastAsia="Calibri" w:hAnsi="Calibri"/>
                <w:b w:val="false"/>
                <w:bCs w:val="false"/>
                <w:sz w:val="18"/>
                <w:szCs w:val="18"/>
              </w:rPr>
              <w:t xml:space="preserve">Answerable. Exactly six product codes have at least 50 batches (17, 23, 13, 1, 21, 15), which supports leave-one-product-code-out evaluation. The largest codes give the most reliable calibration estimates.</w:t>
            </w:r>
          </w:p>
        </w:tc>
      </w:tr>
    </w:tbl>
    <w:p>
      <w:pPr>
        <w:spacing w:after="60" w:before="130"/>
      </w:pPr>
      <w:r>
        <w:rPr>
          <w:rFonts w:ascii="Calibri" w:cs="Calibri" w:eastAsia="Calibri" w:hAnsi="Calibri"/>
          <w:b/>
          <w:bCs/>
          <w:sz w:val="24"/>
          <w:szCs w:val="24"/>
        </w:rPr>
        <w:t xml:space="preserve">What this means</w:t>
      </w:r>
    </w:p>
    <w:p>
      <w:pPr>
        <w:spacing w:after="110" w:line="276"/>
        <w:jc w:val="both"/>
      </w:pPr>
      <w:r>
        <w:rPr>
          <w:rFonts w:ascii="Calibri" w:cs="Calibri" w:eastAsia="Calibri" w:hAnsi="Calibri"/>
          <w:sz w:val="21"/>
          <w:szCs w:val="21"/>
        </w:rPr>
        <w:t xml:space="preserve">The audit confirms the data is sound and identifies three things to handle in preprocessing: keep stoppage rows, detect the timestamp format per file, and exclude product identity from the inputs. The feasibility test confirms all three research questions are answerable, and shows that raw trajectories have the most to prove on the harder targets (dissolution and weight RSD). None of this required a GPU.</w:t>
      </w:r>
    </w:p>
    <w:sectPr>
      <w:pgSz w:w="11906" w:h="16838" w:orient="portrait"/>
      <w:pgMar w:top="850" w:right="950" w:bottom="6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2026-06-01T23:48:29.119Z</dcterms:created>
  <dcterms:modified xsi:type="dcterms:W3CDTF">2026-06-01T23:48:29.120Z</dcterms:modified>
</cp:coreProperties>
</file>

<file path=docProps/custom.xml><?xml version="1.0" encoding="utf-8"?>
<Properties xmlns="http://schemas.openxmlformats.org/officeDocument/2006/custom-properties" xmlns:vt="http://schemas.openxmlformats.org/officeDocument/2006/docPropsVTypes"/>
</file>