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Dataset Report</w:t>
      </w:r>
    </w:p>
    <w:p>
      <w:pPr>
        <w:spacing w:after="40"/>
      </w:pPr>
      <w:r>
        <w:rPr>
          <w:rFonts w:ascii="Calibri" w:cs="Calibri" w:eastAsia="Calibri" w:hAnsi="Calibri"/>
          <w:b/>
          <w:bCs/>
          <w:sz w:val="24"/>
          <w:szCs w:val="24"/>
        </w:rPr>
        <w:t xml:space="preserve">Trustworthy Deep Learning for Pharmaceutical Tablet Quality Prediction</w:t>
      </w:r>
    </w:p>
    <w:p>
      <w:pPr>
        <w:spacing w:after="200"/>
      </w:pPr>
      <w:r>
        <w:rPr>
          <w:rFonts w:ascii="Calibri" w:cs="Calibri" w:eastAsia="Calibri" w:hAnsi="Calibri"/>
          <w:i/>
          <w:iCs/>
          <w:sz w:val="20"/>
          <w:szCs w:val="20"/>
        </w:rPr>
        <w:t xml:space="preserve">Arpit Joshua Elias  |  24257567  |  MSc in Artificial Intelligence  |  Practicum CA2  |  28 May 2026</w:t>
      </w:r>
    </w:p>
    <w:p>
      <w:pPr>
        <w:spacing w:after="100" w:before="220"/>
      </w:pPr>
      <w:r>
        <w:rPr>
          <w:rFonts w:ascii="Calibri" w:cs="Calibri" w:eastAsia="Calibri" w:hAnsi="Calibri"/>
          <w:b/>
          <w:bCs/>
          <w:sz w:val="26"/>
          <w:szCs w:val="26"/>
        </w:rPr>
        <w:t xml:space="preserve">1. Dataset source and licence</w:t>
      </w:r>
    </w:p>
    <w:p>
      <w:pPr>
        <w:spacing w:after="140" w:line="300"/>
        <w:jc w:val="both"/>
      </w:pPr>
      <w:r>
        <w:rPr>
          <w:rFonts w:ascii="Calibri" w:cs="Calibri" w:eastAsia="Calibri" w:hAnsi="Calibri"/>
          <w:sz w:val="22"/>
          <w:szCs w:val="22"/>
        </w:rPr>
        <w:t xml:space="preserve">For this thesis I am using the pharmaceutical manufacturing dataset published by Žagar and Mihelič (2022) in Scientific Data (JCR Impact Factor 9.8). The dataset is publicly archived on figshare under a Creative Commons Attribution 4.0 International licence, which means I can use, modify and redistribute it as long as I give proper attribution to the authors. No separate permission is needed.</w:t>
      </w:r>
    </w:p>
    <w:p>
      <w:pPr>
        <w:spacing w:after="140" w:line="300"/>
        <w:jc w:val="left"/>
      </w:pPr>
      <w:r>
        <w:rPr>
          <w:rFonts w:ascii="Calibri" w:cs="Calibri" w:eastAsia="Calibri" w:hAnsi="Calibri"/>
          <w:b/>
          <w:bCs/>
          <w:sz w:val="22"/>
          <w:szCs w:val="22"/>
        </w:rPr>
        <w:t xml:space="preserve">DOI:  </w:t>
      </w:r>
      <w:r>
        <w:rPr>
          <w:rFonts w:ascii="Calibri" w:cs="Calibri" w:eastAsia="Calibri" w:hAnsi="Calibri"/>
          <w:sz w:val="22"/>
          <w:szCs w:val="22"/>
        </w:rPr>
        <w:t xml:space="preserve">https://doi.org/10.1038/s41597-022-01203-x</w:t>
      </w:r>
    </w:p>
    <w:p>
      <w:pPr>
        <w:spacing w:after="60" w:line="300"/>
        <w:jc w:val="left"/>
      </w:pPr>
      <w:r>
        <w:rPr>
          <w:rFonts w:ascii="Calibri" w:cs="Calibri" w:eastAsia="Calibri" w:hAnsi="Calibri"/>
          <w:b/>
          <w:bCs/>
          <w:sz w:val="22"/>
          <w:szCs w:val="22"/>
        </w:rPr>
        <w:t xml:space="preserve">Figshare archive:</w:t>
      </w:r>
    </w:p>
    <w:p>
      <w:pPr>
        <w:spacing w:after="140" w:line="300"/>
        <w:jc w:val="left"/>
      </w:pPr>
      <w:r>
        <w:rPr>
          <w:rFonts w:ascii="Calibri" w:cs="Calibri" w:eastAsia="Calibri" w:hAnsi="Calibri"/>
          <w:sz w:val="20"/>
          <w:szCs w:val="20"/>
        </w:rPr>
        <w:t xml:space="preserve">https://springernature.figshare.com/collections/Big_data_collection_in_pharmaceutical_manufacturing_and_its_use_for_product_quality_predictions/5645578</w:t>
      </w:r>
    </w:p>
    <w:p>
      <w:pPr>
        <w:spacing w:after="140" w:line="300"/>
        <w:jc w:val="both"/>
      </w:pPr>
      <w:r>
        <w:rPr>
          <w:rFonts w:ascii="Calibri" w:cs="Calibri" w:eastAsia="Calibri" w:hAnsi="Calibri"/>
          <w:sz w:val="22"/>
          <w:szCs w:val="22"/>
        </w:rPr>
        <w:t xml:space="preserve">The manufacturer and product identity were already anonymised by the original authors before publication, so no re-identification risk exists and no ethical approval beyond the Declaration of Ethics form is required.</w:t>
      </w:r>
    </w:p>
    <w:p>
      <w:pPr>
        <w:spacing w:after="100" w:before="220"/>
      </w:pPr>
      <w:r>
        <w:rPr>
          <w:rFonts w:ascii="Calibri" w:cs="Calibri" w:eastAsia="Calibri" w:hAnsi="Calibri"/>
          <w:b/>
          <w:bCs/>
          <w:sz w:val="26"/>
          <w:szCs w:val="26"/>
        </w:rPr>
        <w:t xml:space="preserve">2. What the dataset contains</w:t>
      </w:r>
    </w:p>
    <w:p>
      <w:pPr>
        <w:spacing w:after="140" w:line="300"/>
        <w:jc w:val="both"/>
      </w:pPr>
      <w:r>
        <w:rPr>
          <w:rFonts w:ascii="Calibri" w:cs="Calibri" w:eastAsia="Calibri" w:hAnsi="Calibri"/>
          <w:sz w:val="22"/>
          <w:szCs w:val="22"/>
        </w:rPr>
        <w:t xml:space="preserve">The dataset covers 1,005 GMP-compliant production batches of a single film-coated tablet product, manufactured across 25 different product codes (one code per recipe variant) and 4 strength variants (5 mg, 10 mg, 20 mg, 40 mg). The data is split across three batch-level CSV files and one time-series folder, summarised in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100"/>
        <w:gridCol w:w="4660"/>
      </w:tblGrid>
      <w:tr>
        <w:trPr>
          <w:tblHeader/>
        </w:trPr>
        <w:tc>
          <w:tcPr>
            <w:tcW w:type="dxa" w:w="2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Calibri" w:cs="Calibri" w:eastAsia="Calibri" w:hAnsi="Calibri"/>
                <w:b/>
                <w:bCs/>
                <w:sz w:val="20"/>
                <w:szCs w:val="20"/>
              </w:rPr>
              <w:t xml:space="preserve">File</w:t>
            </w:r>
          </w:p>
        </w:tc>
        <w:tc>
          <w:tcPr>
            <w:tcW w:type="dxa" w:w="1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Calibri" w:cs="Calibri" w:eastAsia="Calibri" w:hAnsi="Calibri"/>
                <w:b/>
                <w:bCs/>
                <w:sz w:val="20"/>
                <w:szCs w:val="20"/>
              </w:rPr>
              <w:t xml:space="preserve">Rows</w:t>
            </w:r>
          </w:p>
        </w:tc>
        <w:tc>
          <w:tcPr>
            <w:tcW w:type="dxa" w:w="11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Calibri" w:cs="Calibri" w:eastAsia="Calibri" w:hAnsi="Calibri"/>
                <w:b/>
                <w:bCs/>
                <w:sz w:val="20"/>
                <w:szCs w:val="20"/>
              </w:rPr>
              <w:t xml:space="preserve">Columns</w:t>
            </w:r>
          </w:p>
        </w:tc>
        <w:tc>
          <w:tcPr>
            <w:tcW w:type="dxa" w:w="46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Calibri" w:cs="Calibri" w:eastAsia="Calibri" w:hAnsi="Calibri"/>
                <w:b/>
                <w:bCs/>
                <w:sz w:val="20"/>
                <w:szCs w:val="20"/>
              </w:rPr>
              <w:t xml:space="preserve">What it holds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Process.csv</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1,005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Expert engineered batch-level aggregate features (28 process features + IDs + 6 lab fields). State-of-the-art baselines train on this.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Laboratory.csv</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1,005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55</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Full lab quality measurements for each batch, including the 4 regression targets used in this thesis.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Normalization.csv</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25</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Per-product-code batch size normalisation factors (used to remove product-specific scale).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Time-series CSVs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~4.72 M rows total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 channels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25 CSV files (one per product code) with raw tablet press sensor trajectories at 10-second resolution.</w:t>
            </w:r>
          </w:p>
        </w:tc>
      </w:tr>
    </w:tbl>
    <w:p>
      <w:pPr>
        <w:spacing w:after="140" w:line="300"/>
        <w:jc w:val="both"/>
      </w:pPr>
      <w:r>
        <w:rPr>
          <w:rFonts w:ascii="Calibri" w:cs="Calibri" w:eastAsia="Calibri" w:hAnsi="Calibri"/>
          <w:sz w:val="22"/>
          <w:szCs w:val="22"/>
        </w:rPr>
        <w:t xml:space="preserve">I verified the batch-level files locally: Process.csv and Laboratory.csv both contain exactly 1,005 batch records with a clean 1-to-1 batch ID join, and Normalization.csv has exactly 25 rows, one per product code. All four regression targets I need (dissolution_av, tbl_av_hardness, tbl_rsd_weight, fct_tensile) have 100% coverage with no missing values.</w:t>
      </w:r>
    </w:p>
    <w:p>
      <w:pPr>
        <w:spacing w:after="100" w:before="220"/>
      </w:pPr>
      <w:r>
        <w:rPr>
          <w:rFonts w:ascii="Calibri" w:cs="Calibri" w:eastAsia="Calibri" w:hAnsi="Calibri"/>
          <w:b/>
          <w:bCs/>
          <w:sz w:val="26"/>
          <w:szCs w:val="26"/>
        </w:rPr>
        <w:t xml:space="preserve">3. How much of the dataset I am using</w:t>
      </w:r>
    </w:p>
    <w:p>
      <w:pPr>
        <w:spacing w:after="140" w:line="300"/>
        <w:jc w:val="both"/>
      </w:pPr>
      <w:r>
        <w:rPr>
          <w:rFonts w:ascii="Calibri" w:cs="Calibri" w:eastAsia="Calibri" w:hAnsi="Calibri"/>
          <w:sz w:val="22"/>
          <w:szCs w:val="22"/>
        </w:rPr>
        <w:t xml:space="preserve">I am using the entire dataset. Nothing is being dropped at the batch level. The full 1,005 batches across all 25 product codes are kept in the training and evaluation pipeline. This is for two reasons. First, the dataset is already small for deep learning, so throwing batches away would hurt the model. Second, the leave-one-product-code-out OOD protocol explicitly needs all 25 codes to be present in order to test how the model behaves on unseen product conditions.</w:t>
      </w:r>
    </w:p>
    <w:p>
      <w:pPr>
        <w:spacing w:after="140" w:line="300"/>
        <w:jc w:val="both"/>
      </w:pPr>
      <w:r>
        <w:rPr>
          <w:rFonts w:ascii="Calibri" w:cs="Calibri" w:eastAsia="Calibri" w:hAnsi="Calibri"/>
          <w:sz w:val="22"/>
          <w:szCs w:val="22"/>
        </w:rPr>
        <w:t xml:space="preserve">The split between in-distribution and out-of-distribution evaluation is based on batches per product code, not arbitrary downsampling. The table below shows the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2200"/>
        <w:gridCol w:w="3160"/>
      </w:tblGrid>
      <w:tr>
        <w:trPr>
          <w:tblHeader/>
        </w:trP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Calibri" w:cs="Calibri" w:eastAsia="Calibri" w:hAnsi="Calibri"/>
                <w:b/>
                <w:bCs/>
                <w:sz w:val="20"/>
                <w:szCs w:val="20"/>
              </w:rPr>
              <w:t xml:space="preserve">Subset</w:t>
            </w:r>
          </w:p>
        </w:tc>
        <w:tc>
          <w:tcPr>
            <w:tcW w:type="dxa" w:w="1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Calibri" w:cs="Calibri" w:eastAsia="Calibri" w:hAnsi="Calibri"/>
                <w:b/>
                <w:bCs/>
                <w:sz w:val="20"/>
                <w:szCs w:val="20"/>
              </w:rPr>
              <w:t xml:space="preserve">Batches</w:t>
            </w:r>
          </w:p>
        </w:tc>
        <w:tc>
          <w:tcPr>
            <w:tcW w:type="dxa" w:w="2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Calibri" w:cs="Calibri" w:eastAsia="Calibri" w:hAnsi="Calibri"/>
                <w:b/>
                <w:bCs/>
                <w:sz w:val="20"/>
                <w:szCs w:val="20"/>
              </w:rPr>
              <w:t xml:space="preserve">Product codes</w:t>
            </w:r>
          </w:p>
        </w:tc>
        <w:tc>
          <w:tcPr>
            <w:tcW w:type="dxa" w:w="31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0"/>
            </w:pPr>
            <w:r>
              <w:rPr>
                <w:rFonts w:ascii="Calibri" w:cs="Calibri" w:eastAsia="Calibri" w:hAnsi="Calibri"/>
                <w:b/>
                <w:bCs/>
                <w:sz w:val="20"/>
                <w:szCs w:val="20"/>
              </w:rPr>
              <w:t xml:space="preserve">Used for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High-frequency codes (≥ 50 batches each)</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752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6 codes (1, 13, 15, 17, 21, 23)</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Leave-one-product-code-out OOD evaluation (RQ3)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Low-frequency codes (&lt; 50 batches each)</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253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19 codes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Pooled into training for the OOD runs; included in all in-distribution nested CV</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Total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25 codes</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Full dataset used across all RQs</w:t>
            </w:r>
          </w:p>
        </w:tc>
      </w:tr>
    </w:tbl>
    <w:p>
      <w:pPr>
        <w:spacing w:after="140" w:line="300"/>
        <w:jc w:val="both"/>
      </w:pPr>
      <w:r>
        <w:rPr>
          <w:rFonts w:ascii="Calibri" w:cs="Calibri" w:eastAsia="Calibri" w:hAnsi="Calibri"/>
          <w:sz w:val="22"/>
          <w:szCs w:val="22"/>
        </w:rPr>
        <w:t xml:space="preserve">The 6 product codes with at least 50 batches are the ones used as held-out test sets in the leave-one-product-code-out protocol, because below 50 batches the test set is too small to give a reliable calibration estimate. This threshold matches the proposal Section 3.3.</w:t>
      </w:r>
    </w:p>
    <w:p>
      <w:pPr>
        <w:spacing w:after="100" w:before="220"/>
      </w:pPr>
      <w:r>
        <w:rPr>
          <w:rFonts w:ascii="Calibri" w:cs="Calibri" w:eastAsia="Calibri" w:hAnsi="Calibri"/>
          <w:b/>
          <w:bCs/>
          <w:sz w:val="26"/>
          <w:szCs w:val="26"/>
        </w:rPr>
        <w:t xml:space="preserve">4. Trajectory size and channels</w:t>
      </w:r>
    </w:p>
    <w:p>
      <w:pPr>
        <w:spacing w:after="140" w:line="300"/>
        <w:jc w:val="both"/>
      </w:pPr>
      <w:r>
        <w:rPr>
          <w:rFonts w:ascii="Calibri" w:cs="Calibri" w:eastAsia="Calibri" w:hAnsi="Calibri"/>
          <w:sz w:val="22"/>
          <w:szCs w:val="22"/>
        </w:rPr>
        <w:t xml:space="preserve">The 25 time-series CSV files together contain about 4.72 million sensor readings, recorded every 10 seconds during production. Each row has 10 sensor channels: filling device speed, tablet fill, cylinder pre-compression height, cylinder main height, tablet press speed, ejection force, pre-compression force, main compression force, slow-release indicator, and stiffness.</w:t>
      </w:r>
    </w:p>
    <w:p>
      <w:pPr>
        <w:spacing w:after="140" w:line="300"/>
        <w:jc w:val="both"/>
      </w:pPr>
      <w:r>
        <w:rPr>
          <w:rFonts w:ascii="Calibri" w:cs="Calibri" w:eastAsia="Calibri" w:hAnsi="Calibri"/>
          <w:sz w:val="22"/>
          <w:szCs w:val="22"/>
        </w:rPr>
        <w:t xml:space="preserve">Trajectory length varies a lot from batch to batch, from around 993 samples (about 2.8 hours of production) up to 41,710 samples (about 116 hours). The median is around 3,228 samples (about 9 hours). This length variation is the reason the input module in MT-TrajNet has to either resample each trajectory to a fixed length or split it into patches (covered in the proposal Section 3.1).</w:t>
      </w:r>
    </w:p>
    <w:p>
      <w:pPr>
        <w:spacing w:after="100" w:before="220"/>
      </w:pPr>
      <w:r>
        <w:rPr>
          <w:rFonts w:ascii="Calibri" w:cs="Calibri" w:eastAsia="Calibri" w:hAnsi="Calibri"/>
          <w:b/>
          <w:bCs/>
          <w:sz w:val="26"/>
          <w:szCs w:val="26"/>
        </w:rPr>
        <w:t xml:space="preserve">5. Storage and access</w:t>
      </w:r>
    </w:p>
    <w:p>
      <w:pPr>
        <w:spacing w:after="140" w:line="300"/>
        <w:jc w:val="both"/>
      </w:pPr>
      <w:r>
        <w:rPr>
          <w:rFonts w:ascii="Calibri" w:cs="Calibri" w:eastAsia="Calibri" w:hAnsi="Calibri"/>
          <w:sz w:val="22"/>
          <w:szCs w:val="22"/>
        </w:rPr>
        <w:t xml:space="preserve">The full dataset is around 600 MB compressed on figshare. The plan is to download it once and host it as a private Kaggle Dataset, which gives me persistent storage tied to my Kaggle account and direct access from Kaggle Notebooks without re-downloading on every session. A mirror is also kept locally for EDA and baseline development that does not need a GPU.</w:t>
      </w:r>
    </w:p>
    <w:p>
      <w:pPr>
        <w:spacing w:after="140" w:line="300"/>
        <w:jc w:val="both"/>
      </w:pPr>
      <w:r>
        <w:rPr>
          <w:rFonts w:ascii="Calibri" w:cs="Calibri" w:eastAsia="Calibri" w:hAnsi="Calibri"/>
          <w:sz w:val="22"/>
          <w:szCs w:val="22"/>
        </w:rPr>
        <w:t xml:space="preserve">Compute for training will run primarily on Kaggle Notebooks (free tier, 30 GPU-hours per week on a P100 with 16 GB VRAM and background execution support, which lets long jobs continue after the browser closes). This covers the bulk of the project: data pipeline, engineered-feature baselines, single-task ablation, and early multi-task runs. For the heavier and more time-sensitive work in July and August (multi-task evidential training, deep ensemble variant, and the leave-one-product-code-out OOD protocol), I will subscribe to Google Colab Pro for two months to give me a reliable second platform with priority GPU access. The college AWS allocation was originally planned but has been advised against, so this two-platform setup replaces it. Checkpoints are written after every epoch so that interrupted sessions can resume cleanly. The 3 batch-level CSVs (Process, Laboratory, Normalization) are already loaded into the project for early baseline development on CPU.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2026-05-26T11:21:17.418Z</dcterms:created>
  <dcterms:modified xsi:type="dcterms:W3CDTF">2026-05-26T11:21:17.437Z</dcterms:modified>
</cp:coreProperties>
</file>

<file path=docProps/custom.xml><?xml version="1.0" encoding="utf-8"?>
<Properties xmlns="http://schemas.openxmlformats.org/officeDocument/2006/custom-properties" xmlns:vt="http://schemas.openxmlformats.org/officeDocument/2006/docPropsVTypes"/>
</file>