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sz w:val="30"/>
          <w:szCs w:val="30"/>
        </w:rPr>
        <w:t xml:space="preserve">Exploratory Data Analysis Summary</w:t>
      </w:r>
    </w:p>
    <w:p>
      <w:pPr>
        <w:spacing w:after="20"/>
      </w:pPr>
      <w:r>
        <w:rPr>
          <w:rFonts w:ascii="Calibri" w:cs="Calibri" w:eastAsia="Calibri" w:hAnsi="Calibri"/>
          <w:b/>
          <w:bCs/>
          <w:sz w:val="21"/>
          <w:szCs w:val="21"/>
        </w:rPr>
        <w:t xml:space="preserve">Pharmaceutical tablet compression dataset</w:t>
      </w:r>
    </w:p>
    <w:p>
      <w:pPr>
        <w:spacing w:after="130"/>
      </w:pPr>
      <w:r>
        <w:rPr>
          <w:rFonts w:ascii="Calibri" w:cs="Calibri" w:eastAsia="Calibri" w:hAnsi="Calibri"/>
          <w:i/>
          <w:iCs/>
          <w:sz w:val="17"/>
          <w:szCs w:val="17"/>
        </w:rPr>
        <w:t xml:space="preserve">Arpit Joshua Elias  |  24257567  |  MSc in Artificial Intelligence  |  Practicum CA2  |  Prepared for 4 June meeting</w:t>
      </w:r>
    </w:p>
    <w:p>
      <w:pPr>
        <w:spacing w:after="110" w:line="276"/>
        <w:jc w:val="both"/>
      </w:pPr>
      <w:r>
        <w:rPr>
          <w:rFonts w:ascii="Calibri" w:cs="Calibri" w:eastAsia="Calibri" w:hAnsi="Calibri"/>
          <w:sz w:val="21"/>
          <w:szCs w:val="21"/>
        </w:rPr>
        <w:t xml:space="preserve">I ran an exploratory data analysis on the full dataset before building the model, to check the data is complete and to test the assumptions behind my research questions. I used the 25 raw sensor files and the laboratory results file. Everything was done in Python (pandas and matplotlib) on my own machine, with no GPU needed.</w:t>
      </w:r>
    </w:p>
    <w:p>
      <w:pPr>
        <w:spacing w:after="60" w:before="130"/>
      </w:pPr>
      <w:r>
        <w:rPr>
          <w:rFonts w:ascii="Calibri" w:cs="Calibri" w:eastAsia="Calibri" w:hAnsi="Calibri"/>
          <w:b/>
          <w:bCs/>
          <w:sz w:val="24"/>
          <w:szCs w:val="24"/>
        </w:rPr>
        <w:t xml:space="preserve">What I checked and what I found</w:t>
      </w:r>
    </w:p>
    <w:p>
      <w:pPr>
        <w:spacing w:after="110" w:line="276"/>
        <w:jc w:val="both"/>
      </w:pPr>
      <w:r>
        <w:rPr>
          <w:rFonts w:ascii="Calibri" w:cs="Calibri" w:eastAsia="Calibri" w:hAnsi="Calibri"/>
          <w:b/>
          <w:bCs/>
          <w:sz w:val="21"/>
          <w:szCs w:val="21"/>
        </w:rPr>
        <w:t xml:space="preserve">Dataset is complete. </w:t>
      </w:r>
      <w:r>
        <w:rPr>
          <w:rFonts w:ascii="Calibri" w:cs="Calibri" w:eastAsia="Calibri" w:hAnsi="Calibri"/>
          <w:sz w:val="21"/>
          <w:szCs w:val="21"/>
        </w:rPr>
        <w:t xml:space="preserve">The 25 files contain exactly 1,005 batches and 4,720,208 sensor readings, which matches the original paper. All four quality targets (dissolution, hardness, weight RSD, tensile strength) are present for every batch, with no missing values.</w:t>
      </w:r>
    </w:p>
    <w:p>
      <w:pPr>
        <w:spacing w:after="110" w:line="276"/>
        <w:jc w:val="both"/>
      </w:pPr>
      <w:r>
        <w:rPr>
          <w:rFonts w:ascii="Calibri" w:cs="Calibri" w:eastAsia="Calibri" w:hAnsi="Calibri"/>
          <w:b/>
          <w:bCs/>
          <w:sz w:val="21"/>
          <w:szCs w:val="21"/>
        </w:rPr>
        <w:t xml:space="preserve">Trajectory lengths vary a lot. </w:t>
      </w:r>
      <w:r>
        <w:rPr>
          <w:rFonts w:ascii="Calibri" w:cs="Calibri" w:eastAsia="Calibri" w:hAnsi="Calibri"/>
          <w:sz w:val="21"/>
          <w:szCs w:val="21"/>
        </w:rPr>
        <w:t xml:space="preserve">Each batch runs for a different amount of time. The shortest is 993 ten-second readings (about 3 hours) and the longest is 41,710 (about 116 hours), with a median of 3,228. This large range is the main reason I chose a TCN, which handles variable-length sequences naturally.</w:t>
      </w:r>
    </w:p>
    <w:p>
      <w:pPr>
        <w:spacing w:after="110" w:line="276"/>
        <w:jc w:val="both"/>
      </w:pPr>
      <w:r>
        <w:rPr>
          <w:rFonts w:ascii="Calibri" w:cs="Calibri" w:eastAsia="Calibri" w:hAnsi="Calibri"/>
          <w:b/>
          <w:bCs/>
          <w:sz w:val="21"/>
          <w:szCs w:val="21"/>
        </w:rPr>
        <w:t xml:space="preserve">Sensor signals change over time within a batch. </w:t>
      </w:r>
      <w:r>
        <w:rPr>
          <w:rFonts w:ascii="Calibri" w:cs="Calibri" w:eastAsia="Calibri" w:hAnsi="Calibri"/>
          <w:sz w:val="21"/>
          <w:szCs w:val="21"/>
        </w:rPr>
        <w:t xml:space="preserve">Plotting one batch showed clear patterns: ejection force starts high and slowly drifts down, the compression cylinder steps down in stages, and the machine has short stoppages. These time patterns are exactly what gets lost when a batch is reduced to summary numbers, which supports RQ1 (raw trajectories versus engineered features).</w:t>
      </w:r>
    </w:p>
    <w:p>
      <w:pPr>
        <w:spacing w:after="110" w:line="276"/>
        <w:jc w:val="both"/>
      </w:pPr>
      <w:r>
        <w:rPr>
          <w:rFonts w:ascii="Calibri" w:cs="Calibri" w:eastAsia="Calibri" w:hAnsi="Calibri"/>
          <w:b/>
          <w:bCs/>
          <w:sz w:val="21"/>
          <w:szCs w:val="21"/>
        </w:rPr>
        <w:t xml:space="preserve">The four targets are not equally related. </w:t>
      </w:r>
      <w:r>
        <w:rPr>
          <w:rFonts w:ascii="Calibri" w:cs="Calibri" w:eastAsia="Calibri" w:hAnsi="Calibri"/>
          <w:sz w:val="21"/>
          <w:szCs w:val="21"/>
        </w:rPr>
        <w:t xml:space="preserve">Dissolution, hardness, and tensile strength are moderately correlated (dissolution and tensile at 0.52, hardness and tensile at -0.38, dissolution and hardness at -0.28). Weight RSD is essentially independent of the other three (all correlations near zero). This makes sense because the first three depend on how the powder compacts, while weight RSD depends on fill consistency. This refines RQ2: I now expect multi-task learning to help the three coupled targets more than weight RSD.</w:t>
      </w:r>
    </w:p>
    <w:p>
      <w:pPr>
        <w:spacing w:after="110" w:line="276"/>
        <w:jc w:val="both"/>
      </w:pPr>
      <w:r>
        <w:rPr>
          <w:rFonts w:ascii="Calibri" w:cs="Calibri" w:eastAsia="Calibri" w:hAnsi="Calibri"/>
          <w:b/>
          <w:bCs/>
          <w:sz w:val="21"/>
          <w:szCs w:val="21"/>
        </w:rPr>
        <w:t xml:space="preserve">Six product codes qualify for the out-of-distribution test. </w:t>
      </w:r>
      <w:r>
        <w:rPr>
          <w:rFonts w:ascii="Calibri" w:cs="Calibri" w:eastAsia="Calibri" w:hAnsi="Calibri"/>
          <w:sz w:val="21"/>
          <w:szCs w:val="21"/>
        </w:rPr>
        <w:t xml:space="preserve">Exactly six product codes have at least 50 batches (codes 17, 23, 13, 1, 21 and 15), which is what my leave-one-product-code-out evaluation in RQ3a needs. This confirms the out-of-distribution plan is feasible on the real data.</w:t>
      </w:r>
    </w:p>
    <w:p>
      <w:pPr>
        <w:spacing w:after="110" w:line="276"/>
        <w:jc w:val="both"/>
      </w:pPr>
      <w:r>
        <w:rPr>
          <w:rFonts w:ascii="Calibri" w:cs="Calibri" w:eastAsia="Calibri" w:hAnsi="Calibri"/>
          <w:b/>
          <w:bCs/>
          <w:sz w:val="21"/>
          <w:szCs w:val="21"/>
        </w:rPr>
        <w:t xml:space="preserve">Stoppages are common and some sensors are product-specific. </w:t>
      </w:r>
      <w:r>
        <w:rPr>
          <w:rFonts w:ascii="Calibri" w:cs="Calibri" w:eastAsia="Calibri" w:hAnsi="Calibri"/>
          <w:sz w:val="21"/>
          <w:szCs w:val="21"/>
        </w:rPr>
        <w:t xml:space="preserve">About a third of speed readings are zero, which represents real production pauses rather than missing data. Pre-compression force is unused in many products. This supports adding a gap-indicator channel in preprocessing so the model can tell a stoppage apart from a genuine zero reading.</w:t>
      </w:r>
    </w:p>
    <w:p>
      <w:pPr>
        <w:spacing w:after="60" w:before="130"/>
      </w:pPr>
      <w:r>
        <w:rPr>
          <w:rFonts w:ascii="Calibri" w:cs="Calibri" w:eastAsia="Calibri" w:hAnsi="Calibri"/>
          <w:b/>
          <w:bCs/>
          <w:sz w:val="24"/>
          <w:szCs w:val="24"/>
        </w:rPr>
        <w:t xml:space="preserve">Key numbers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400"/>
        <w:gridCol w:w="4400"/>
      </w:tblGrid>
      <w:tr>
        <w:trPr>
          <w:tblHeader/>
        </w:trPr>
        <w:tc>
          <w:tcPr>
            <w:tcW w:type="dxa" w:w="5400"/>
            <w:tcBorders>
              <w:top w:val="single" w:color="000000" w:sz="4"/>
              <w:left w:val="single" w:color="000000" w:sz="4"/>
              <w:bottom w:val="single" w:color="000000" w:sz="4"/>
              <w:right w:val="single" w:color="000000" w:sz="4"/>
            </w:tcBorders>
            <w:shd w:fill="F2F2F2" w:val="clear"/>
            <w:tcMar>
              <w:top w:type="dxa" w:w="30"/>
              <w:left w:type="dxa" w:w="80"/>
              <w:bottom w:type="dxa" w:w="30"/>
              <w:right w:type="dxa" w:w="80"/>
            </w:tcMar>
          </w:tcPr>
          <w:p>
            <w:pPr>
              <w:spacing w:after="0" w:line="240"/>
            </w:pPr>
            <w:r>
              <w:rPr>
                <w:rFonts w:ascii="Calibri" w:cs="Calibri" w:eastAsia="Calibri" w:hAnsi="Calibri"/>
                <w:b/>
                <w:bCs/>
                <w:sz w:val="18"/>
                <w:szCs w:val="18"/>
              </w:rPr>
              <w:t xml:space="preserve">Item</w:t>
            </w:r>
          </w:p>
        </w:tc>
        <w:tc>
          <w:tcPr>
            <w:tcW w:type="dxa" w:w="4400"/>
            <w:tcBorders>
              <w:top w:val="single" w:color="000000" w:sz="4"/>
              <w:left w:val="single" w:color="000000" w:sz="4"/>
              <w:bottom w:val="single" w:color="000000" w:sz="4"/>
              <w:right w:val="single" w:color="000000" w:sz="4"/>
            </w:tcBorders>
            <w:shd w:fill="F2F2F2" w:val="clear"/>
            <w:tcMar>
              <w:top w:type="dxa" w:w="30"/>
              <w:left w:type="dxa" w:w="80"/>
              <w:bottom w:type="dxa" w:w="30"/>
              <w:right w:type="dxa" w:w="80"/>
            </w:tcMar>
          </w:tcPr>
          <w:p>
            <w:pPr>
              <w:spacing w:after="0" w:line="240"/>
            </w:pPr>
            <w:r>
              <w:rPr>
                <w:rFonts w:ascii="Calibri" w:cs="Calibri" w:eastAsia="Calibri" w:hAnsi="Calibri"/>
                <w:b/>
                <w:bCs/>
                <w:sz w:val="18"/>
                <w:szCs w:val="18"/>
              </w:rPr>
              <w:t xml:space="preserve">Value</w:t>
            </w:r>
          </w:p>
        </w:tc>
      </w:tr>
      <w:tr>
        <w:tc>
          <w:tcPr>
            <w:tcW w:type="dxa" w:w="54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pPr>
            <w:r>
              <w:rPr>
                <w:rFonts w:ascii="Calibri" w:cs="Calibri" w:eastAsia="Calibri" w:hAnsi="Calibri"/>
                <w:b w:val="false"/>
                <w:bCs w:val="false"/>
                <w:sz w:val="18"/>
                <w:szCs w:val="18"/>
              </w:rPr>
              <w:t xml:space="preserve">Batches</w:t>
            </w:r>
          </w:p>
        </w:tc>
        <w:tc>
          <w:tcPr>
            <w:tcW w:type="dxa" w:w="44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pPr>
            <w:r>
              <w:rPr>
                <w:rFonts w:ascii="Calibri" w:cs="Calibri" w:eastAsia="Calibri" w:hAnsi="Calibri"/>
                <w:b w:val="false"/>
                <w:bCs w:val="false"/>
                <w:sz w:val="18"/>
                <w:szCs w:val="18"/>
              </w:rPr>
              <w:t xml:space="preserve">1,005 (no missing target values)</w:t>
            </w:r>
          </w:p>
        </w:tc>
      </w:tr>
      <w:tr>
        <w:tc>
          <w:tcPr>
            <w:tcW w:type="dxa" w:w="54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pPr>
            <w:r>
              <w:rPr>
                <w:rFonts w:ascii="Calibri" w:cs="Calibri" w:eastAsia="Calibri" w:hAnsi="Calibri"/>
                <w:b w:val="false"/>
                <w:bCs w:val="false"/>
                <w:sz w:val="18"/>
                <w:szCs w:val="18"/>
              </w:rPr>
              <w:t xml:space="preserve">Sensor readings</w:t>
            </w:r>
          </w:p>
        </w:tc>
        <w:tc>
          <w:tcPr>
            <w:tcW w:type="dxa" w:w="44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pPr>
            <w:r>
              <w:rPr>
                <w:rFonts w:ascii="Calibri" w:cs="Calibri" w:eastAsia="Calibri" w:hAnsi="Calibri"/>
                <w:b w:val="false"/>
                <w:bCs w:val="false"/>
                <w:sz w:val="18"/>
                <w:szCs w:val="18"/>
              </w:rPr>
              <w:t xml:space="preserve">4,720,208</w:t>
            </w:r>
          </w:p>
        </w:tc>
      </w:tr>
      <w:tr>
        <w:tc>
          <w:tcPr>
            <w:tcW w:type="dxa" w:w="54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pPr>
            <w:r>
              <w:rPr>
                <w:rFonts w:ascii="Calibri" w:cs="Calibri" w:eastAsia="Calibri" w:hAnsi="Calibri"/>
                <w:b w:val="false"/>
                <w:bCs w:val="false"/>
                <w:sz w:val="18"/>
                <w:szCs w:val="18"/>
              </w:rPr>
              <w:t xml:space="preserve">Trajectory length (min / median / max)</w:t>
            </w:r>
          </w:p>
        </w:tc>
        <w:tc>
          <w:tcPr>
            <w:tcW w:type="dxa" w:w="44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pPr>
            <w:r>
              <w:rPr>
                <w:rFonts w:ascii="Calibri" w:cs="Calibri" w:eastAsia="Calibri" w:hAnsi="Calibri"/>
                <w:b w:val="false"/>
                <w:bCs w:val="false"/>
                <w:sz w:val="18"/>
                <w:szCs w:val="18"/>
              </w:rPr>
              <w:t xml:space="preserve">993 / 3,228 / 41,710 ten-second steps</w:t>
            </w:r>
          </w:p>
        </w:tc>
      </w:tr>
      <w:tr>
        <w:tc>
          <w:tcPr>
            <w:tcW w:type="dxa" w:w="54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pPr>
            <w:r>
              <w:rPr>
                <w:rFonts w:ascii="Calibri" w:cs="Calibri" w:eastAsia="Calibri" w:hAnsi="Calibri"/>
                <w:b w:val="false"/>
                <w:bCs w:val="false"/>
                <w:sz w:val="18"/>
                <w:szCs w:val="18"/>
              </w:rPr>
              <w:t xml:space="preserve">Strongest target correlation</w:t>
            </w:r>
          </w:p>
        </w:tc>
        <w:tc>
          <w:tcPr>
            <w:tcW w:type="dxa" w:w="44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pPr>
            <w:r>
              <w:rPr>
                <w:rFonts w:ascii="Calibri" w:cs="Calibri" w:eastAsia="Calibri" w:hAnsi="Calibri"/>
                <w:b w:val="false"/>
                <w:bCs w:val="false"/>
                <w:sz w:val="18"/>
                <w:szCs w:val="18"/>
              </w:rPr>
              <w:t xml:space="preserve">Dissolution and tensile, 0.52</w:t>
            </w:r>
          </w:p>
        </w:tc>
      </w:tr>
      <w:tr>
        <w:tc>
          <w:tcPr>
            <w:tcW w:type="dxa" w:w="54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pPr>
            <w:r>
              <w:rPr>
                <w:rFonts w:ascii="Calibri" w:cs="Calibri" w:eastAsia="Calibri" w:hAnsi="Calibri"/>
                <w:b w:val="false"/>
                <w:bCs w:val="false"/>
                <w:sz w:val="18"/>
                <w:szCs w:val="18"/>
              </w:rPr>
              <w:t xml:space="preserve">Independent target</w:t>
            </w:r>
          </w:p>
        </w:tc>
        <w:tc>
          <w:tcPr>
            <w:tcW w:type="dxa" w:w="44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pPr>
            <w:r>
              <w:rPr>
                <w:rFonts w:ascii="Calibri" w:cs="Calibri" w:eastAsia="Calibri" w:hAnsi="Calibri"/>
                <w:b w:val="false"/>
                <w:bCs w:val="false"/>
                <w:sz w:val="18"/>
                <w:szCs w:val="18"/>
              </w:rPr>
              <w:t xml:space="preserve">Weight RSD (near-zero correlation with all)</w:t>
            </w:r>
          </w:p>
        </w:tc>
      </w:tr>
      <w:tr>
        <w:tc>
          <w:tcPr>
            <w:tcW w:type="dxa" w:w="54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pPr>
            <w:r>
              <w:rPr>
                <w:rFonts w:ascii="Calibri" w:cs="Calibri" w:eastAsia="Calibri" w:hAnsi="Calibri"/>
                <w:b w:val="false"/>
                <w:bCs w:val="false"/>
                <w:sz w:val="18"/>
                <w:szCs w:val="18"/>
              </w:rPr>
              <w:t xml:space="preserve">OOD-eligible product codes</w:t>
            </w:r>
          </w:p>
        </w:tc>
        <w:tc>
          <w:tcPr>
            <w:tcW w:type="dxa" w:w="44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pPr>
            <w:r>
              <w:rPr>
                <w:rFonts w:ascii="Calibri" w:cs="Calibri" w:eastAsia="Calibri" w:hAnsi="Calibri"/>
                <w:b w:val="false"/>
                <w:bCs w:val="false"/>
                <w:sz w:val="18"/>
                <w:szCs w:val="18"/>
              </w:rPr>
              <w:t xml:space="preserve">6 (codes 17, 23, 13, 1, 21, 15)</w:t>
            </w:r>
          </w:p>
        </w:tc>
      </w:tr>
    </w:tbl>
    <w:p>
      <w:pPr>
        <w:spacing w:after="60" w:before="130"/>
      </w:pPr>
      <w:r>
        <w:rPr>
          <w:rFonts w:ascii="Calibri" w:cs="Calibri" w:eastAsia="Calibri" w:hAnsi="Calibri"/>
          <w:b/>
          <w:bCs/>
          <w:sz w:val="24"/>
          <w:szCs w:val="24"/>
        </w:rPr>
        <w:t xml:space="preserve">What this means for the project</w:t>
      </w:r>
    </w:p>
    <w:p>
      <w:pPr>
        <w:spacing w:after="110" w:line="276"/>
        <w:jc w:val="both"/>
      </w:pPr>
      <w:r>
        <w:rPr>
          <w:rFonts w:ascii="Calibri" w:cs="Calibri" w:eastAsia="Calibri" w:hAnsi="Calibri"/>
          <w:sz w:val="21"/>
          <w:szCs w:val="21"/>
        </w:rPr>
        <w:t xml:space="preserve">The EDA confirms the data is complete and supports the three research questions with evidence rather than assumption. The wide length range justifies the TCN, the within-batch sensor patterns justify using raw trajectories (RQ1), the correlation structure refines the multi-task question (RQ2), and the six qualifying product codes confirm the out-of-distribution evaluation (RQ3a) is feasible.</w:t>
      </w:r>
    </w:p>
    <w:sectPr>
      <w:pgSz w:w="11906" w:h="16838" w:orient="portrait"/>
      <w:pgMar w:top="850" w:right="950" w:bottom="70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2026-06-01T18:59:08.798Z</dcterms:created>
  <dcterms:modified xsi:type="dcterms:W3CDTF">2026-06-01T18:59:08.798Z</dcterms:modified>
</cp:coreProperties>
</file>

<file path=docProps/custom.xml><?xml version="1.0" encoding="utf-8"?>
<Properties xmlns="http://schemas.openxmlformats.org/officeDocument/2006/custom-properties" xmlns:vt="http://schemas.openxmlformats.org/officeDocument/2006/docPropsVTypes"/>
</file>