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2"/>
          <w:szCs w:val="32"/>
        </w:rPr>
        <w:t xml:space="preserve">Literature Gap Analysis</w:t>
      </w:r>
    </w:p>
    <w:p>
      <w:pPr>
        <w:spacing w:after="30"/>
      </w:pPr>
      <w:r>
        <w:rPr>
          <w:rFonts w:ascii="Calibri" w:cs="Calibri" w:eastAsia="Calibri" w:hAnsi="Calibri"/>
          <w:b/>
          <w:bCs/>
          <w:sz w:val="22"/>
          <w:szCs w:val="22"/>
        </w:rPr>
        <w:t xml:space="preserve">10 papers (5 seminal + 5 recent) and how MT-TrajNet fills the gap</w:t>
      </w:r>
    </w:p>
    <w:p>
      <w:pPr>
        <w:spacing w:after="160"/>
      </w:pPr>
      <w:r>
        <w:rPr>
          <w:rFonts w:ascii="Calibri" w:cs="Calibri" w:eastAsia="Calibri" w:hAnsi="Calibri"/>
          <w:i/>
          <w:iCs/>
          <w:sz w:val="18"/>
          <w:szCs w:val="18"/>
        </w:rPr>
        <w:t xml:space="preserve">Arpit Joshua Elias  |  24257567  |  MSc in Artificial Intelligence  |  Practicum CA2  |  Prepared for 4 June meeting</w:t>
      </w:r>
    </w:p>
    <w:p>
      <w:pPr>
        <w:spacing w:after="80" w:before="180"/>
      </w:pPr>
      <w:r>
        <w:rPr>
          <w:rFonts w:ascii="Calibri" w:cs="Calibri" w:eastAsia="Calibri" w:hAnsi="Calibri"/>
          <w:b/>
          <w:bCs/>
          <w:sz w:val="26"/>
          <w:szCs w:val="26"/>
        </w:rPr>
        <w:t xml:space="preserve">How I chose the papers</w:t>
      </w:r>
    </w:p>
    <w:p>
      <w:pPr>
        <w:spacing w:after="120" w:line="290"/>
        <w:jc w:val="both"/>
      </w:pPr>
      <w:r>
        <w:rPr>
          <w:rFonts w:ascii="Calibri" w:cs="Calibri" w:eastAsia="Calibri" w:hAnsi="Calibri"/>
          <w:sz w:val="22"/>
          <w:szCs w:val="22"/>
        </w:rPr>
        <w:t xml:space="preserve">Following the feedback from the 28 May meeting, I selected ten papers split evenly between five seminal works (foundational methods my thesis builds on) and five recent papers from the last two years (May 2024 to today). The seminal papers cover the core techniques: feature-engineering with LASSO for pharma dissolution, temporal convolutional networks, multi-task learning with uncertainty weighting, deep evidential regression, and corrected statistical testing for ML comparisons. The recent papers cover the closest competing work in pharmaceutical quality prediction and adjacent industrial time-series applications, including the recent IQPD framework on pharma quality prediction, an intelligent tablet press machine paper, and recent TCN-based prognostics work that combines uncertainty quantification with deep learning.</w:t>
      </w:r>
    </w:p>
    <w:p>
      <w:pPr>
        <w:spacing w:after="80" w:before="180"/>
      </w:pPr>
      <w:r>
        <w:rPr>
          <w:rFonts w:ascii="Calibri" w:cs="Calibri" w:eastAsia="Calibri" w:hAnsi="Calibri"/>
          <w:b/>
          <w:bCs/>
          <w:sz w:val="26"/>
          <w:szCs w:val="26"/>
        </w:rPr>
        <w:t xml:space="preserve">Where my work fills the gap</w:t>
      </w:r>
    </w:p>
    <w:p>
      <w:pPr>
        <w:spacing w:after="120" w:line="290"/>
        <w:jc w:val="both"/>
      </w:pPr>
      <w:r>
        <w:rPr>
          <w:rFonts w:ascii="Calibri" w:cs="Calibri" w:eastAsia="Calibri" w:hAnsi="Calibri"/>
          <w:sz w:val="22"/>
          <w:szCs w:val="22"/>
        </w:rPr>
        <w:t xml:space="preserve">After reviewing all ten papers, four genuine gaps remain that MT-TrajNet directly addresses. None of the pharmaceutical quality prediction work I found uses raw 10-second sensor trajectories as input. Susto and McLoone (2015), Wang et al. (2025), and Kim and Han (2025) all reduce the trajectory to engineered summary features before training. This is the gap RQ1 targets.</w:t>
      </w:r>
    </w:p>
    <w:p>
      <w:pPr>
        <w:spacing w:after="120" w:line="290"/>
        <w:jc w:val="both"/>
      </w:pPr>
      <w:r>
        <w:rPr>
          <w:rFonts w:ascii="Calibri" w:cs="Calibri" w:eastAsia="Calibri" w:hAnsi="Calibri"/>
          <w:sz w:val="22"/>
          <w:szCs w:val="22"/>
        </w:rPr>
        <w:t xml:space="preserve">Second, no pharma paper trains a single model that predicts dissolution, hardness, weight uniformity, and tensile strength together with a shared encoder. Wang et al.'s IQPD framework is multi-unit but predicts one target at a time. Kim and Han's intelligent tablet press is single-target classification. Multi-task learning with uncertainty weighting has been shown to work well in other domains, but not in pharma quality prediction. This is the gap RQ2 targets.</w:t>
      </w:r>
    </w:p>
    <w:p>
      <w:pPr>
        <w:spacing w:after="120" w:line="290"/>
        <w:jc w:val="both"/>
      </w:pPr>
      <w:r>
        <w:rPr>
          <w:rFonts w:ascii="Calibri" w:cs="Calibri" w:eastAsia="Calibri" w:hAnsi="Calibri"/>
          <w:sz w:val="22"/>
          <w:szCs w:val="22"/>
        </w:rPr>
        <w:t xml:space="preserve">Third, dual evidential uncertainty (aleatoric and epistemic from a single forward pass) has been applied in industrial prognostics, for example the bearing RUL work of Ge, Sun and Xu (2025), but never in a regulated pharmaceutical quality prediction setting. RQ3a tests this directly with leave-one-product-code-out evaluation on six unseen codes. This out-of-distribution design is also necessary on this dataset for a practical reason: my data audit found that product code alone explains up to 89 percent of the variance in hardness and tensile strength, so a model given product identity could appear accurate by memorising products rather than learning from the sensors. Holding out entire product codes forces the model to predict from sensor patterns alone, which is the honest test.</w:t>
      </w:r>
    </w:p>
    <w:p>
      <w:pPr>
        <w:spacing w:after="120" w:line="290"/>
        <w:jc w:val="both"/>
      </w:pPr>
      <w:r>
        <w:rPr>
          <w:rFonts w:ascii="Calibri" w:cs="Calibri" w:eastAsia="Calibri" w:hAnsi="Calibri"/>
          <w:sz w:val="22"/>
          <w:szCs w:val="22"/>
        </w:rPr>
        <w:t xml:space="preserve">Fourth, the genuinely novel piece is uncertainty-stratified attribution. Some recent work uses SHAP to explain prediction uncertainty, for example the cable mechanics study of Zhao et al. (2025), but no paper splits attribution patterns by epistemic uncertainty bins and tests whether confident and uncertain predictions attend to different parts of the trajectory. This combination has not been done in regulated industrial AI. RQ3b targets this directly.</w:t>
      </w:r>
    </w:p>
    <w:p>
      <w:pPr>
        <w:spacing w:after="80" w:before="180"/>
      </w:pPr>
      <w:r>
        <w:rPr>
          <w:rFonts w:ascii="Calibri" w:cs="Calibri" w:eastAsia="Calibri" w:hAnsi="Calibri"/>
          <w:b/>
          <w:bCs/>
          <w:sz w:val="26"/>
          <w:szCs w:val="26"/>
        </w:rPr>
        <w:t xml:space="preserve">Summary</w:t>
      </w:r>
    </w:p>
    <w:p>
      <w:pPr>
        <w:spacing w:after="120" w:line="290"/>
        <w:jc w:val="both"/>
      </w:pPr>
      <w:r>
        <w:rPr>
          <w:rFonts w:ascii="Calibri" w:cs="Calibri" w:eastAsia="Calibri" w:hAnsi="Calibri"/>
          <w:sz w:val="22"/>
          <w:szCs w:val="22"/>
        </w:rPr>
        <w:t xml:space="preserve">The seminal papers give me the methodological scaffolding. The recent papers confirm the field is active but show that no single existing study combines raw trajectories, multi-task structure, dual uncertainty, and uncertainty-stratified attribution in pharmaceutical quality prediction. The gap analysis table on the next page maps this out per paper.</w:t>
      </w:r>
    </w:p>
    <w:p>
      <w:pPr>
        <w:sectPr>
          <w:pgSz w:w="11906" w:h="16838" w:orient="portrait"/>
          <w:pgMar w:top="900" w:right="1000" w:bottom="900" w:left="1000" w:header="708" w:footer="708" w:gutter="0"/>
          <w:pgNumType/>
          <w:docGrid w:linePitch="360"/>
        </w:sectPr>
      </w:pPr>
    </w:p>
    <w:p>
      <w:pPr>
        <w:spacing w:after="50"/>
      </w:pPr>
      <w:r>
        <w:rPr>
          <w:rFonts w:ascii="Calibri" w:cs="Calibri" w:eastAsia="Calibri" w:hAnsi="Calibri"/>
          <w:b/>
          <w:bCs/>
          <w:sz w:val="26"/>
          <w:szCs w:val="26"/>
        </w:rPr>
        <w:t xml:space="preserve">Gap Analysis Table</w:t>
      </w:r>
    </w:p>
    <w:p>
      <w:pPr>
        <w:spacing w:after="80"/>
      </w:pPr>
      <w:r>
        <w:rPr>
          <w:rFonts w:ascii="Calibri" w:cs="Calibri" w:eastAsia="Calibri" w:hAnsi="Calibri"/>
          <w:i/>
          <w:iCs/>
          <w:sz w:val="17"/>
          <w:szCs w:val="17"/>
        </w:rPr>
        <w:t xml:space="preserve">Rows S1-S5 are seminal foundations. Rows R1-R5 are recent papers (within 2 years). The final row is MT-TrajNet.</w:t>
      </w:r>
    </w:p>
    <w:tbl>
      <w:tblPr>
        <w:tblW w:type="dxa" w:w="14550"/>
        <w:tblBorders>
          <w:top w:val="single" w:color="auto" w:sz="4"/>
          <w:left w:val="single" w:color="auto" w:sz="4"/>
          <w:bottom w:val="single" w:color="auto" w:sz="4"/>
          <w:right w:val="single" w:color="auto" w:sz="4"/>
          <w:insideH w:val="single" w:color="auto" w:sz="4"/>
          <w:insideV w:val="single" w:color="auto" w:sz="4"/>
        </w:tblBorders>
      </w:tblPr>
      <w:tblGrid>
        <w:gridCol w:w="450"/>
        <w:gridCol w:w="2050"/>
        <w:gridCol w:w="1500"/>
        <w:gridCol w:w="3550"/>
        <w:gridCol w:w="3500"/>
        <w:gridCol w:w="3500"/>
      </w:tblGrid>
      <w:tr>
        <w:trPr>
          <w:tblHeader/>
        </w:trPr>
        <w:tc>
          <w:tcPr>
            <w:tcW w:type="dxa" w:w="450"/>
            <w:tcBorders>
              <w:top w:val="single" w:color="000000" w:sz="4"/>
              <w:left w:val="single" w:color="000000" w:sz="4"/>
              <w:bottom w:val="single" w:color="000000" w:sz="4"/>
              <w:right w:val="single" w:color="000000" w:sz="4"/>
            </w:tcBorders>
            <w:shd w:fill="F2F2F2" w:val="clear"/>
            <w:tcMar>
              <w:top w:type="dxa" w:w="25"/>
              <w:left w:type="dxa" w:w="75"/>
              <w:bottom w:type="dxa" w:w="25"/>
              <w:right w:type="dxa" w:w="75"/>
            </w:tcMar>
          </w:tcPr>
          <w:p>
            <w:pPr>
              <w:spacing w:after="8" w:line="180"/>
            </w:pPr>
            <w:r>
              <w:rPr>
                <w:rFonts w:ascii="Calibri" w:cs="Calibri" w:eastAsia="Calibri" w:hAnsi="Calibri"/>
                <w:b/>
                <w:bCs/>
                <w:i w:val="false"/>
                <w:iCs w:val="false"/>
                <w:color w:val="000000"/>
                <w:sz w:val="16"/>
                <w:szCs w:val="16"/>
              </w:rPr>
              <w:t xml:space="preserve">#</w:t>
            </w:r>
          </w:p>
        </w:tc>
        <w:tc>
          <w:tcPr>
            <w:tcW w:type="dxa" w:w="2050"/>
            <w:tcBorders>
              <w:top w:val="single" w:color="000000" w:sz="4"/>
              <w:left w:val="single" w:color="000000" w:sz="4"/>
              <w:bottom w:val="single" w:color="000000" w:sz="4"/>
              <w:right w:val="single" w:color="000000" w:sz="4"/>
            </w:tcBorders>
            <w:shd w:fill="F2F2F2" w:val="clear"/>
            <w:tcMar>
              <w:top w:type="dxa" w:w="25"/>
              <w:left w:type="dxa" w:w="75"/>
              <w:bottom w:type="dxa" w:w="25"/>
              <w:right w:type="dxa" w:w="75"/>
            </w:tcMar>
          </w:tcPr>
          <w:p>
            <w:pPr>
              <w:spacing w:after="8" w:line="180"/>
            </w:pPr>
            <w:r>
              <w:rPr>
                <w:rFonts w:ascii="Calibri" w:cs="Calibri" w:eastAsia="Calibri" w:hAnsi="Calibri"/>
                <w:b/>
                <w:bCs/>
                <w:i w:val="false"/>
                <w:iCs w:val="false"/>
                <w:color w:val="000000"/>
                <w:sz w:val="16"/>
                <w:szCs w:val="16"/>
              </w:rPr>
              <w:t xml:space="preserve">Paper</w:t>
            </w:r>
          </w:p>
        </w:tc>
        <w:tc>
          <w:tcPr>
            <w:tcW w:type="dxa" w:w="1500"/>
            <w:tcBorders>
              <w:top w:val="single" w:color="000000" w:sz="4"/>
              <w:left w:val="single" w:color="000000" w:sz="4"/>
              <w:bottom w:val="single" w:color="000000" w:sz="4"/>
              <w:right w:val="single" w:color="000000" w:sz="4"/>
            </w:tcBorders>
            <w:shd w:fill="F2F2F2" w:val="clear"/>
            <w:tcMar>
              <w:top w:type="dxa" w:w="25"/>
              <w:left w:type="dxa" w:w="75"/>
              <w:bottom w:type="dxa" w:w="25"/>
              <w:right w:type="dxa" w:w="75"/>
            </w:tcMar>
          </w:tcPr>
          <w:p>
            <w:pPr>
              <w:spacing w:after="8" w:line="180"/>
            </w:pPr>
            <w:r>
              <w:rPr>
                <w:rFonts w:ascii="Calibri" w:cs="Calibri" w:eastAsia="Calibri" w:hAnsi="Calibri"/>
                <w:b/>
                <w:bCs/>
                <w:i w:val="false"/>
                <w:iCs w:val="false"/>
                <w:color w:val="000000"/>
                <w:sz w:val="16"/>
                <w:szCs w:val="16"/>
              </w:rPr>
              <w:t xml:space="preserve">Year / Venue</w:t>
            </w:r>
          </w:p>
        </w:tc>
        <w:tc>
          <w:tcPr>
            <w:tcW w:type="dxa" w:w="3550"/>
            <w:tcBorders>
              <w:top w:val="single" w:color="000000" w:sz="4"/>
              <w:left w:val="single" w:color="000000" w:sz="4"/>
              <w:bottom w:val="single" w:color="000000" w:sz="4"/>
              <w:right w:val="single" w:color="000000" w:sz="4"/>
            </w:tcBorders>
            <w:shd w:fill="F2F2F2" w:val="clear"/>
            <w:tcMar>
              <w:top w:type="dxa" w:w="25"/>
              <w:left w:type="dxa" w:w="75"/>
              <w:bottom w:type="dxa" w:w="25"/>
              <w:right w:type="dxa" w:w="75"/>
            </w:tcMar>
          </w:tcPr>
          <w:p>
            <w:pPr>
              <w:spacing w:after="8" w:line="180"/>
            </w:pPr>
            <w:r>
              <w:rPr>
                <w:rFonts w:ascii="Calibri" w:cs="Calibri" w:eastAsia="Calibri" w:hAnsi="Calibri"/>
                <w:b/>
                <w:bCs/>
                <w:i w:val="false"/>
                <w:iCs w:val="false"/>
                <w:color w:val="000000"/>
                <w:sz w:val="16"/>
                <w:szCs w:val="16"/>
              </w:rPr>
              <w:t xml:space="preserve">What they did</w:t>
            </w:r>
          </w:p>
        </w:tc>
        <w:tc>
          <w:tcPr>
            <w:tcW w:type="dxa" w:w="3500"/>
            <w:tcBorders>
              <w:top w:val="single" w:color="000000" w:sz="4"/>
              <w:left w:val="single" w:color="000000" w:sz="4"/>
              <w:bottom w:val="single" w:color="000000" w:sz="4"/>
              <w:right w:val="single" w:color="000000" w:sz="4"/>
            </w:tcBorders>
            <w:shd w:fill="F2F2F2" w:val="clear"/>
            <w:tcMar>
              <w:top w:type="dxa" w:w="25"/>
              <w:left w:type="dxa" w:w="75"/>
              <w:bottom w:type="dxa" w:w="25"/>
              <w:right w:type="dxa" w:w="75"/>
            </w:tcMar>
          </w:tcPr>
          <w:p>
            <w:pPr>
              <w:spacing w:after="8" w:line="180"/>
            </w:pPr>
            <w:r>
              <w:rPr>
                <w:rFonts w:ascii="Calibri" w:cs="Calibri" w:eastAsia="Calibri" w:hAnsi="Calibri"/>
                <w:b/>
                <w:bCs/>
                <w:i w:val="false"/>
                <w:iCs w:val="false"/>
                <w:color w:val="000000"/>
                <w:sz w:val="16"/>
                <w:szCs w:val="16"/>
              </w:rPr>
              <w:t xml:space="preserve">What they did NOT do</w:t>
            </w:r>
          </w:p>
        </w:tc>
        <w:tc>
          <w:tcPr>
            <w:tcW w:type="dxa" w:w="3500"/>
            <w:tcBorders>
              <w:top w:val="single" w:color="000000" w:sz="4"/>
              <w:left w:val="single" w:color="000000" w:sz="4"/>
              <w:bottom w:val="single" w:color="000000" w:sz="4"/>
              <w:right w:val="single" w:color="000000" w:sz="4"/>
            </w:tcBorders>
            <w:shd w:fill="F2F2F2" w:val="clear"/>
            <w:tcMar>
              <w:top w:type="dxa" w:w="25"/>
              <w:left w:type="dxa" w:w="75"/>
              <w:bottom w:type="dxa" w:w="25"/>
              <w:right w:type="dxa" w:w="75"/>
            </w:tcMar>
          </w:tcPr>
          <w:p>
            <w:pPr>
              <w:spacing w:after="8" w:line="180"/>
            </w:pPr>
            <w:r>
              <w:rPr>
                <w:rFonts w:ascii="Calibri" w:cs="Calibri" w:eastAsia="Calibri" w:hAnsi="Calibri"/>
                <w:b/>
                <w:bCs/>
                <w:i w:val="false"/>
                <w:iCs w:val="false"/>
                <w:color w:val="000000"/>
                <w:sz w:val="16"/>
                <w:szCs w:val="16"/>
              </w:rPr>
              <w:t xml:space="preserve">How MT-TrajNet differs</w:t>
            </w:r>
          </w:p>
        </w:tc>
      </w:tr>
      <w:tr>
        <w:trPr>
          <w:cantSplit/>
        </w:trPr>
        <w:tc>
          <w:tcPr>
            <w:tcW w:type="dxa" w:w="4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S1</w:t>
            </w:r>
          </w:p>
        </w:tc>
        <w:tc>
          <w:tcPr>
            <w:tcW w:type="dxa" w:w="20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Susto and McLoone, Slow release drug dissolution profile prediction in pharmaceutical manufacturing: a multivariate and machine learning approach</w:t>
            </w:r>
          </w:p>
          <w:p>
            <w:pPr>
              <w:spacing w:after="0" w:line="180"/>
            </w:pPr>
            <w:r>
              <w:rPr>
                <w:rFonts w:ascii="Calibri" w:cs="Calibri" w:eastAsia="Calibri" w:hAnsi="Calibri"/>
                <w:b w:val="false"/>
                <w:bCs w:val="false"/>
                <w:i/>
                <w:iCs/>
                <w:color w:val="1155CC"/>
                <w:sz w:val="11"/>
                <w:szCs w:val="11"/>
                <w:u w:val="single"/>
              </w:rPr>
              <w:t xml:space="preserve">ieeexplore.ieee.org/document/7294264</w:t>
            </w:r>
          </w:p>
        </w:tc>
        <w:tc>
          <w:tcPr>
            <w:tcW w:type="dxa" w:w="1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2015, IEEE CASE conference (pp. 1218-1223)</w:t>
            </w:r>
          </w:p>
        </w:tc>
        <w:tc>
          <w:tcPr>
            <w:tcW w:type="dxa" w:w="35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LASSO regression on engineered batch-level features (raw materials, coating, pellet size) to identify drivers of dissolution variability. Demonstrated feature engineering helps on small data.</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Throws away raw trajectory information. No uncertainty quantification. Single-task per attribute.</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Uses raw 10-second trajectories directly. Multi-task across 4 targets. Dual evidential uncertainty.</w:t>
            </w:r>
          </w:p>
        </w:tc>
      </w:tr>
      <w:tr>
        <w:trPr>
          <w:cantSplit/>
        </w:trPr>
        <w:tc>
          <w:tcPr>
            <w:tcW w:type="dxa" w:w="4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S2</w:t>
            </w:r>
          </w:p>
        </w:tc>
        <w:tc>
          <w:tcPr>
            <w:tcW w:type="dxa" w:w="20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Bai, Kolter and Koltun, Generic convolutional and recurrent networks for sequence modeling (TCN)</w:t>
            </w:r>
          </w:p>
          <w:p>
            <w:pPr>
              <w:spacing w:after="0" w:line="180"/>
            </w:pPr>
            <w:r>
              <w:rPr>
                <w:rFonts w:ascii="Calibri" w:cs="Calibri" w:eastAsia="Calibri" w:hAnsi="Calibri"/>
                <w:b w:val="false"/>
                <w:bCs w:val="false"/>
                <w:i/>
                <w:iCs/>
                <w:color w:val="1155CC"/>
                <w:sz w:val="11"/>
                <w:szCs w:val="11"/>
                <w:u w:val="single"/>
              </w:rPr>
              <w:t xml:space="preserve">arxiv.org/abs/1803.01271</w:t>
            </w:r>
          </w:p>
        </w:tc>
        <w:tc>
          <w:tcPr>
            <w:tcW w:type="dxa" w:w="1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2018, arXiv (4,000+ citations)</w:t>
            </w:r>
          </w:p>
        </w:tc>
        <w:tc>
          <w:tcPr>
            <w:tcW w:type="dxa" w:w="35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Established TCN as strong baseline for long sequence tasks via dilated 1D convolutions. Showed convolutions beat RNNs on many benchmarks.</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Methodology paper only. No domain application. No uncertainty quantification. No multi-task.</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Applies TCN architecture to pharma trajectory regression. Adds evidential heads + multi-task structure on top.</w:t>
            </w:r>
          </w:p>
        </w:tc>
      </w:tr>
      <w:tr>
        <w:trPr>
          <w:cantSplit/>
        </w:trPr>
        <w:tc>
          <w:tcPr>
            <w:tcW w:type="dxa" w:w="4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S3</w:t>
            </w:r>
          </w:p>
        </w:tc>
        <w:tc>
          <w:tcPr>
            <w:tcW w:type="dxa" w:w="20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Kendall, Gal and Cipolla, Multi-task learning using uncertainty to weigh losses</w:t>
            </w:r>
          </w:p>
          <w:p>
            <w:pPr>
              <w:spacing w:after="0" w:line="180"/>
            </w:pPr>
            <w:r>
              <w:rPr>
                <w:rFonts w:ascii="Calibri" w:cs="Calibri" w:eastAsia="Calibri" w:hAnsi="Calibri"/>
                <w:b w:val="false"/>
                <w:bCs w:val="false"/>
                <w:i/>
                <w:iCs/>
                <w:color w:val="1155CC"/>
                <w:sz w:val="11"/>
                <w:szCs w:val="11"/>
                <w:u w:val="single"/>
              </w:rPr>
              <w:t xml:space="preserve">arxiv.org/abs/1705.07115</w:t>
            </w:r>
          </w:p>
        </w:tc>
        <w:tc>
          <w:tcPr>
            <w:tcW w:type="dxa" w:w="1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2018, CVPR (CORE A*)</w:t>
            </w:r>
          </w:p>
        </w:tc>
        <w:tc>
          <w:tcPr>
            <w:tcW w:type="dxa" w:w="35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Multi-task uncertainty weighting: treat each task's homoscedastic uncertainty as a learnable parameter, balance task losses automatically.</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Demonstrated on scene understanding (vision). No regulated industrial application. No epistemic uncertainty.</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Applies Kendall weighting to pharma quality multi-task regression. Adds evidential epistemic uncertainty per task head.</w:t>
            </w:r>
          </w:p>
        </w:tc>
      </w:tr>
      <w:tr>
        <w:trPr>
          <w:cantSplit/>
        </w:trPr>
        <w:tc>
          <w:tcPr>
            <w:tcW w:type="dxa" w:w="4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S4</w:t>
            </w:r>
          </w:p>
        </w:tc>
        <w:tc>
          <w:tcPr>
            <w:tcW w:type="dxa" w:w="20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Amini, Schwarting, Soleimany and Rus, Deep Evidential Regression</w:t>
            </w:r>
          </w:p>
          <w:p>
            <w:pPr>
              <w:spacing w:after="0" w:line="180"/>
            </w:pPr>
            <w:r>
              <w:rPr>
                <w:rFonts w:ascii="Calibri" w:cs="Calibri" w:eastAsia="Calibri" w:hAnsi="Calibri"/>
                <w:b w:val="false"/>
                <w:bCs w:val="false"/>
                <w:i/>
                <w:iCs/>
                <w:color w:val="1155CC"/>
                <w:sz w:val="11"/>
                <w:szCs w:val="11"/>
                <w:u w:val="single"/>
              </w:rPr>
              <w:t xml:space="preserve">arxiv.org/abs/1910.02600</w:t>
            </w:r>
          </w:p>
        </w:tc>
        <w:tc>
          <w:tcPr>
            <w:tcW w:type="dxa" w:w="1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2020, NeurIPS (CORE A*)</w:t>
            </w:r>
          </w:p>
        </w:tc>
        <w:tc>
          <w:tcPr>
            <w:tcW w:type="dxa" w:w="35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Output Normal-Inverse-Gamma distribution parameters per prediction. Gives aleatoric + epistemic uncertainty in a single forward pass without ensembling.</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Generic regression benchmarks. No industrial application. No attribution analysis. Known to miscalibrate under OOD.</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Uses evidential heads per quality target. Tests calibration under leave-one-product-code-out distribution shift on real GMP data.</w:t>
            </w:r>
          </w:p>
        </w:tc>
      </w:tr>
      <w:tr>
        <w:trPr>
          <w:cantSplit/>
        </w:trPr>
        <w:tc>
          <w:tcPr>
            <w:tcW w:type="dxa" w:w="4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S5</w:t>
            </w:r>
          </w:p>
        </w:tc>
        <w:tc>
          <w:tcPr>
            <w:tcW w:type="dxa" w:w="20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Nadeau and Bengio, Inference for the generalization error</w:t>
            </w:r>
          </w:p>
          <w:p>
            <w:pPr>
              <w:spacing w:after="0" w:line="180"/>
            </w:pPr>
            <w:r>
              <w:rPr>
                <w:rFonts w:ascii="Calibri" w:cs="Calibri" w:eastAsia="Calibri" w:hAnsi="Calibri"/>
                <w:b w:val="false"/>
                <w:bCs w:val="false"/>
                <w:i/>
                <w:iCs/>
                <w:color w:val="1155CC"/>
                <w:sz w:val="11"/>
                <w:szCs w:val="11"/>
                <w:u w:val="single"/>
              </w:rPr>
              <w:t xml:space="preserve">doi.org/10.1023/A:1024068626366</w:t>
            </w:r>
          </w:p>
        </w:tc>
        <w:tc>
          <w:tcPr>
            <w:tcW w:type="dxa" w:w="1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2003, Machine Learning (IF 7.5)</w:t>
            </w:r>
          </w:p>
        </w:tc>
        <w:tc>
          <w:tcPr>
            <w:tcW w:type="dxa" w:w="35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Corrected repeated-measures statistical test that adjusts for training-set variance in cross-validation. Avoids inflated Type-I error.</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Methodology paper. No applied study. No multiple-comparison correction.</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Applied as primary statistical test for all model comparisons in this thesis, combined with Benjamini-Hochberg for 12 pairwise comparisons.</w:t>
            </w:r>
          </w:p>
        </w:tc>
      </w:tr>
      <w:tr>
        <w:trPr>
          <w:cantSplit/>
        </w:trPr>
        <w:tc>
          <w:tcPr>
            <w:tcW w:type="dxa" w:w="4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R1</w:t>
            </w:r>
          </w:p>
        </w:tc>
        <w:tc>
          <w:tcPr>
            <w:tcW w:type="dxa" w:w="20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Žagar and Mihelič, Big data collection in pharmaceutical manufacturing (base paper)</w:t>
            </w:r>
          </w:p>
          <w:p>
            <w:pPr>
              <w:spacing w:after="0" w:line="180"/>
            </w:pPr>
            <w:r>
              <w:rPr>
                <w:rFonts w:ascii="Calibri" w:cs="Calibri" w:eastAsia="Calibri" w:hAnsi="Calibri"/>
                <w:b w:val="false"/>
                <w:bCs w:val="false"/>
                <w:i/>
                <w:iCs/>
                <w:color w:val="1155CC"/>
                <w:sz w:val="11"/>
                <w:szCs w:val="11"/>
                <w:u w:val="single"/>
              </w:rPr>
              <w:t xml:space="preserve">doi.org/10.1038/s41597-022-01203-x</w:t>
            </w:r>
          </w:p>
        </w:tc>
        <w:tc>
          <w:tcPr>
            <w:tcW w:type="dxa" w:w="1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2022, Scientific Data (IF 9.8)</w:t>
            </w:r>
          </w:p>
        </w:tc>
        <w:tc>
          <w:tcPr>
            <w:tcW w:type="dxa" w:w="35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Published 1,005 GMP-compliant production batches with full sensor trajectories and lab outcomes. Ran basic ML demos on 28 engineered features in Process.csv.</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Did not model the raw trajectories themselves (only used engineered summary features). No deep learning. No uncertainty. No multi-task.</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MT-TrajNet takes the raw trajectories they published but never modelled. Adds deep learning, multi-task, dual uncertainty, OOD testing.</w:t>
            </w:r>
          </w:p>
        </w:tc>
      </w:tr>
      <w:tr>
        <w:trPr>
          <w:cantSplit/>
        </w:trPr>
        <w:tc>
          <w:tcPr>
            <w:tcW w:type="dxa" w:w="4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R2</w:t>
            </w:r>
          </w:p>
        </w:tc>
        <w:tc>
          <w:tcPr>
            <w:tcW w:type="dxa" w:w="20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Wang et al., AI-integrated IQPD framework (PeDGAT)</w:t>
            </w:r>
          </w:p>
          <w:p>
            <w:pPr>
              <w:spacing w:after="0" w:line="180"/>
            </w:pPr>
            <w:r>
              <w:rPr>
                <w:rFonts w:ascii="Calibri" w:cs="Calibri" w:eastAsia="Calibri" w:hAnsi="Calibri"/>
                <w:b w:val="false"/>
                <w:bCs w:val="false"/>
                <w:i/>
                <w:iCs/>
                <w:color w:val="1155CC"/>
                <w:sz w:val="11"/>
                <w:szCs w:val="11"/>
                <w:u w:val="single"/>
              </w:rPr>
              <w:t xml:space="preserve">sciencedirect.com/science/article/pii/S2211383525003806</w:t>
            </w:r>
          </w:p>
        </w:tc>
        <w:tc>
          <w:tcPr>
            <w:tcW w:type="dxa" w:w="1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2025, Acta Pharm. Sinica B (vol. 15, pp. 4193-4209)</w:t>
            </w:r>
          </w:p>
        </w:tc>
        <w:tc>
          <w:tcPr>
            <w:tcW w:type="dxa" w:w="35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Path-enhanced double-ensemble graph attention network for quality prediction across six pharma production units (traditional medicine pills). Used four years of multi-stage data.</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Still uses engineered aggregate features (no raw time-series). No uncertainty quantification. No OOD evaluation. Single quality target.</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Single-unit raw trajectory modelling with four simultaneous quality targets. Dual evidential uncertainty. Leave-one-product-code-out OOD test.</w:t>
            </w:r>
          </w:p>
        </w:tc>
      </w:tr>
      <w:tr>
        <w:trPr>
          <w:cantSplit/>
        </w:trPr>
        <w:tc>
          <w:tcPr>
            <w:tcW w:type="dxa" w:w="4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R3</w:t>
            </w:r>
          </w:p>
        </w:tc>
        <w:tc>
          <w:tcPr>
            <w:tcW w:type="dxa" w:w="20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Kim and Han, Intelligent tablet press machine for in-line detection of defective tablets</w:t>
            </w:r>
          </w:p>
          <w:p>
            <w:pPr>
              <w:spacing w:after="0" w:line="180"/>
            </w:pPr>
            <w:r>
              <w:rPr>
                <w:rFonts w:ascii="Calibri" w:cs="Calibri" w:eastAsia="Calibri" w:hAnsi="Calibri"/>
                <w:b w:val="false"/>
                <w:bCs w:val="false"/>
                <w:i/>
                <w:iCs/>
                <w:color w:val="1155CC"/>
                <w:sz w:val="11"/>
                <w:szCs w:val="11"/>
                <w:u w:val="single"/>
              </w:rPr>
              <w:t xml:space="preserve">doi.org/10.3390/pharmaceutics17040406</w:t>
            </w:r>
          </w:p>
        </w:tc>
        <w:tc>
          <w:tcPr>
            <w:tcW w:type="dxa" w:w="1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2025, Pharmaceutics (IF 4.9)</w:t>
            </w:r>
          </w:p>
        </w:tc>
        <w:tc>
          <w:tcPr>
            <w:tcW w:type="dxa" w:w="35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Random Forest + ANN on tablet press sensor features (compression force, ejection force, speed). Predicted capping defects and breaking force. 93.7 % RF accuracy.</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Binary classification only (defect / no defect). Single product (metformin HCl). No uncertainty. No multi-task. No raw trajectory. No OOD.</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Continuous regression on 4 quality attributes across 25 product codes. Raw trajectory input. Multi-task + dual uncertainty + OOD evaluation.</w:t>
            </w:r>
          </w:p>
        </w:tc>
      </w:tr>
      <w:tr>
        <w:trPr>
          <w:cantSplit/>
        </w:trPr>
        <w:tc>
          <w:tcPr>
            <w:tcW w:type="dxa" w:w="4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R4</w:t>
            </w:r>
          </w:p>
        </w:tc>
        <w:tc>
          <w:tcPr>
            <w:tcW w:type="dxa" w:w="20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Ge, Sun and Xu, Bearing life prediction via a novel temporal convolutional network with embedded uncertainty quantification</w:t>
            </w:r>
          </w:p>
          <w:p>
            <w:pPr>
              <w:spacing w:after="0" w:line="180"/>
            </w:pPr>
            <w:r>
              <w:rPr>
                <w:rFonts w:ascii="Calibri" w:cs="Calibri" w:eastAsia="Calibri" w:hAnsi="Calibri"/>
                <w:b w:val="false"/>
                <w:bCs w:val="false"/>
                <w:i/>
                <w:iCs/>
                <w:color w:val="1155CC"/>
                <w:sz w:val="11"/>
                <w:szCs w:val="11"/>
                <w:u w:val="single"/>
              </w:rPr>
              <w:t xml:space="preserve">doi.org/10.1016/j.engappai.2025.111303</w:t>
            </w:r>
          </w:p>
        </w:tc>
        <w:tc>
          <w:tcPr>
            <w:tcW w:type="dxa" w:w="1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2025, Engineering Applications of AI (vol. 156)</w:t>
            </w:r>
          </w:p>
        </w:tc>
        <w:tc>
          <w:tcPr>
            <w:tcW w:type="dxa" w:w="35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Modernized TCN (MTCN-GAU) with dual uncertainty quantification (epistemic + aleatory) for bearing remaining useful life. 32.3 % RMSE reduction vs baselines on public bearing datasets.</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Industrial prognostics domain (bearings), not pharma. Single regression target. No attribution analysis stratified by uncertainty.</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Same TCN + dual uncertainty principle, transferred to pharma multi-task quality prediction. Adds SHAP-based uncertainty-stratified attribution analysis.</w:t>
            </w:r>
          </w:p>
        </w:tc>
      </w:tr>
      <w:tr>
        <w:trPr>
          <w:cantSplit/>
        </w:trPr>
        <w:tc>
          <w:tcPr>
            <w:tcW w:type="dxa" w:w="4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R5</w:t>
            </w:r>
          </w:p>
        </w:tc>
        <w:tc>
          <w:tcPr>
            <w:tcW w:type="dxa" w:w="20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Zhao, Wang, Lin, Tian, Zhang and Wang, Prediction of mechanical characteristics of shearer intelligent cables under bending conditions</w:t>
            </w:r>
          </w:p>
          <w:p>
            <w:pPr>
              <w:spacing w:after="0" w:line="180"/>
            </w:pPr>
            <w:r>
              <w:rPr>
                <w:rFonts w:ascii="Calibri" w:cs="Calibri" w:eastAsia="Calibri" w:hAnsi="Calibri"/>
                <w:b w:val="false"/>
                <w:bCs w:val="false"/>
                <w:i/>
                <w:iCs/>
                <w:color w:val="1155CC"/>
                <w:sz w:val="11"/>
                <w:szCs w:val="11"/>
                <w:u w:val="single"/>
              </w:rPr>
              <w:t xml:space="preserve">doi.org/10.1371/journal.pone.0318767</w:t>
            </w:r>
          </w:p>
        </w:tc>
        <w:tc>
          <w:tcPr>
            <w:tcW w:type="dxa" w:w="1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2025, PLOS ONE</w:t>
            </w:r>
          </w:p>
        </w:tc>
        <w:tc>
          <w:tcPr>
            <w:tcW w:type="dxa" w:w="35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TCN + BiLSTM + Squeeze-and-Excitation attention (TCN-BiLSTM-SEAttention) to predict mechanical properties of mining shearer cables, with SHAP quantifying feature contributions.</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Different domain (mining cables). Single-task prediction. SHAP used for static feature attribution only, not stratified by model uncertainty. No regulated-industry framing.</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Same TCN + SHAP combination, but applied to multi-task pharma quality prediction with attribution stratified by epistemic uncertainty and OOD calibration testing.</w:t>
            </w:r>
          </w:p>
        </w:tc>
      </w:tr>
      <w:tr>
        <w:trPr>
          <w:cantSplit/>
        </w:trPr>
        <w:tc>
          <w:tcPr>
            <w:tcW w:type="dxa" w:w="4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MT</w:t>
            </w:r>
          </w:p>
        </w:tc>
        <w:tc>
          <w:tcPr>
            <w:tcW w:type="dxa" w:w="20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MT-TrajNet (this thesis)</w:t>
            </w:r>
          </w:p>
        </w:tc>
        <w:tc>
          <w:tcPr>
            <w:tcW w:type="dxa" w:w="1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2026, MSc Practicum</w:t>
            </w:r>
          </w:p>
        </w:tc>
        <w:tc>
          <w:tcPr>
            <w:tcW w:type="dxa" w:w="355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TCN encoder on raw 10-second trajectories, 4 evidential heads (the 4 targets), Kendall multi-task weighting, leave-one-code-out OOD calibration, SHAP uncertainty-stratified attribution.</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(Open: implementation in progress. RQ1 could come out null, but the factorial design protects RQ2 and RQ3.)</w:t>
            </w:r>
          </w:p>
        </w:tc>
        <w:tc>
          <w:tcPr>
            <w:tcW w:type="dxa" w:w="3500"/>
            <w:tcBorders>
              <w:top w:val="single" w:color="000000" w:sz="4"/>
              <w:left w:val="single" w:color="000000" w:sz="4"/>
              <w:bottom w:val="single" w:color="000000" w:sz="4"/>
              <w:right w:val="single" w:color="000000" w:sz="4"/>
            </w:tcBorders>
            <w:tcMar>
              <w:top w:type="dxa" w:w="25"/>
              <w:left w:type="dxa" w:w="75"/>
              <w:bottom w:type="dxa" w:w="25"/>
              <w:right w:type="dxa" w:w="75"/>
            </w:tcMar>
          </w:tcPr>
          <w:p>
            <w:pPr>
              <w:spacing w:after="8" w:line="180"/>
            </w:pPr>
            <w:r>
              <w:rPr>
                <w:rFonts w:ascii="Calibri" w:cs="Calibri" w:eastAsia="Calibri" w:hAnsi="Calibri"/>
                <w:b w:val="false"/>
                <w:bCs w:val="false"/>
                <w:i w:val="false"/>
                <w:iCs w:val="false"/>
                <w:color w:val="000000"/>
                <w:sz w:val="14"/>
                <w:szCs w:val="14"/>
              </w:rPr>
              <w:t xml:space="preserve">First study to combine all four pieces (raw trajectories, multi-task, dual UQ, uncertainty-stratified attribution) in a regulated pharma setting.</w:t>
            </w:r>
          </w:p>
        </w:tc>
      </w:tr>
    </w:tbl>
    <w:sectPr>
      <w:pgSz w:w="16838" w:h="11906" w:orient="portrait"/>
      <w:pgMar w:top="450" w:right="500" w:bottom="4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2026-06-01T23:42:01.112Z</dcterms:created>
  <dcterms:modified xsi:type="dcterms:W3CDTF">2026-06-01T23:42:01.124Z</dcterms:modified>
</cp:coreProperties>
</file>

<file path=docProps/custom.xml><?xml version="1.0" encoding="utf-8"?>
<Properties xmlns="http://schemas.openxmlformats.org/officeDocument/2006/custom-properties" xmlns:vt="http://schemas.openxmlformats.org/officeDocument/2006/docPropsVTypes"/>
</file>