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32"/>
          <w:szCs w:val="32"/>
        </w:rPr>
        <w:t xml:space="preserve">Metric Justification Study</w:t>
      </w:r>
    </w:p>
    <w:p>
      <w:pPr>
        <w:spacing w:after="30"/>
      </w:pPr>
      <w:r>
        <w:rPr>
          <w:rFonts w:ascii="Calibri" w:cs="Calibri" w:eastAsia="Calibri" w:hAnsi="Calibri"/>
          <w:b/>
          <w:bCs/>
          <w:sz w:val="22"/>
          <w:szCs w:val="22"/>
        </w:rPr>
        <w:t xml:space="preserve">Trustworthy Deep Learning for Pharmaceutical Tablet Quality Prediction</w:t>
      </w:r>
    </w:p>
    <w:p>
      <w:pPr>
        <w:spacing w:after="160"/>
      </w:pPr>
      <w:r>
        <w:rPr>
          <w:rFonts w:ascii="Calibri" w:cs="Calibri" w:eastAsia="Calibri" w:hAnsi="Calibri"/>
          <w:i/>
          <w:iCs/>
          <w:sz w:val="18"/>
          <w:szCs w:val="18"/>
        </w:rPr>
        <w:t xml:space="preserve">Arpit Joshua Elias  |  24257567  |  MSc in Artificial Intelligence  |  Practicum CA2  |  28 May 2026</w:t>
      </w:r>
    </w:p>
    <w:p>
      <w:pPr>
        <w:spacing w:after="90" w:before="200"/>
      </w:pPr>
      <w:r>
        <w:rPr>
          <w:rFonts w:ascii="Calibri" w:cs="Calibri" w:eastAsia="Calibri" w:hAnsi="Calibri"/>
          <w:b/>
          <w:bCs/>
          <w:sz w:val="26"/>
          <w:szCs w:val="26"/>
        </w:rPr>
        <w:t xml:space="preserve">Why this report exists</w:t>
      </w:r>
    </w:p>
    <w:p>
      <w:pPr>
        <w:spacing w:after="130" w:line="295"/>
        <w:jc w:val="both"/>
      </w:pPr>
      <w:r>
        <w:rPr>
          <w:rFonts w:ascii="Calibri" w:cs="Calibri" w:eastAsia="Calibri" w:hAnsi="Calibri"/>
          <w:sz w:val="22"/>
          <w:szCs w:val="22"/>
        </w:rPr>
        <w:t xml:space="preserve">The model in this thesis predicts four quality attributes and also gives an uncertainty estimate plus an explanation for every prediction. That means accuracy alone is not enough to evaluate it. I need accuracy metrics for the predictions themselves, calibration metrics for the uncertainty, and an attribution metric for the explanations. On top of that, the statistical comparison between models has to use corrected tests, because the standard t-test on cross-validation folds is known to inflate the Type-I error rate. This report walks through each choice and says why I picked that metric and not the obvious alternative.</w:t>
      </w:r>
    </w:p>
    <w:p>
      <w:pPr>
        <w:spacing w:after="90" w:before="200"/>
      </w:pPr>
      <w:r>
        <w:rPr>
          <w:rFonts w:ascii="Calibri" w:cs="Calibri" w:eastAsia="Calibri" w:hAnsi="Calibri"/>
          <w:b/>
          <w:bCs/>
          <w:sz w:val="26"/>
          <w:szCs w:val="26"/>
        </w:rPr>
        <w:t xml:space="preserve">Accuracy metrics for the regression predictions</w:t>
      </w:r>
    </w:p>
    <w:p>
      <w:pPr>
        <w:spacing w:after="130" w:line="295"/>
        <w:jc w:val="both"/>
      </w:pPr>
      <w:r>
        <w:rPr>
          <w:rFonts w:ascii="Calibri" w:cs="Calibri" w:eastAsia="Calibri" w:hAnsi="Calibri"/>
          <w:sz w:val="22"/>
          <w:szCs w:val="22"/>
        </w:rPr>
        <w:t xml:space="preserve">Three metrics are used together for the four regression targets: RMSE, MAE and R². They all measure accuracy but they each answer a slightly different question, which is why one alone is not enough.</w:t>
      </w:r>
    </w:p>
    <w:p>
      <w:pPr>
        <w:spacing w:after="70" w:before="140"/>
      </w:pPr>
      <w:r>
        <w:rPr>
          <w:rFonts w:ascii="Calibri" w:cs="Calibri" w:eastAsia="Calibri" w:hAnsi="Calibri"/>
          <w:b/>
          <w:bCs/>
          <w:sz w:val="22"/>
          <w:szCs w:val="22"/>
        </w:rPr>
        <w:t xml:space="preserve">RMSE (root mean squared error)</w:t>
      </w:r>
    </w:p>
    <w:p>
      <w:pPr>
        <w:spacing w:after="130" w:line="295"/>
        <w:jc w:val="both"/>
      </w:pPr>
      <w:r>
        <w:rPr>
          <w:rFonts w:ascii="Calibri" w:cs="Calibri" w:eastAsia="Calibri" w:hAnsi="Calibri"/>
          <w:sz w:val="22"/>
          <w:szCs w:val="22"/>
        </w:rPr>
        <w:t xml:space="preserve">RMSE is the headline accuracy metric. It is in the same units as the target, so it is interpretable by domain people (a hardness RMSE of 5 N means the predictions are off by about 5 N on average). It also squares the errors, so large mistakes count more than small ones. For pharmaceutical quality this is the right behaviour: a batch that is slightly off-spec is fine, but a batch that is very off-spec can be a safety issue. RMSE pushes the model to avoid those large errors.</w:t>
      </w:r>
    </w:p>
    <w:p>
      <w:pPr>
        <w:spacing w:after="70" w:before="140"/>
      </w:pPr>
      <w:r>
        <w:rPr>
          <w:rFonts w:ascii="Calibri" w:cs="Calibri" w:eastAsia="Calibri" w:hAnsi="Calibri"/>
          <w:b/>
          <w:bCs/>
          <w:sz w:val="22"/>
          <w:szCs w:val="22"/>
        </w:rPr>
        <w:t xml:space="preserve">MAE (mean absolute error)</w:t>
      </w:r>
    </w:p>
    <w:p>
      <w:pPr>
        <w:spacing w:after="130" w:line="295"/>
        <w:jc w:val="both"/>
      </w:pPr>
      <w:r>
        <w:rPr>
          <w:rFonts w:ascii="Calibri" w:cs="Calibri" w:eastAsia="Calibri" w:hAnsi="Calibri"/>
          <w:sz w:val="22"/>
          <w:szCs w:val="22"/>
        </w:rPr>
        <w:t xml:space="preserve">MAE is reported alongside RMSE because it does not penalise large errors as harshly. If RMSE is much higher than MAE on one of the targets, it tells me that there are a small number of very bad predictions hiding inside an otherwise OK average. That is useful diagnostic information that RMSE on its own cannot give me.</w:t>
      </w:r>
    </w:p>
    <w:p>
      <w:pPr>
        <w:spacing w:after="70" w:before="140"/>
      </w:pPr>
      <w:r>
        <w:rPr>
          <w:rFonts w:ascii="Calibri" w:cs="Calibri" w:eastAsia="Calibri" w:hAnsi="Calibri"/>
          <w:b/>
          <w:bCs/>
          <w:sz w:val="22"/>
          <w:szCs w:val="22"/>
        </w:rPr>
        <w:t xml:space="preserve">R² (coefficient of determination)</w:t>
      </w:r>
    </w:p>
    <w:p>
      <w:pPr>
        <w:spacing w:after="130" w:line="295"/>
        <w:jc w:val="both"/>
      </w:pPr>
      <w:r>
        <w:rPr>
          <w:rFonts w:ascii="Calibri" w:cs="Calibri" w:eastAsia="Calibri" w:hAnsi="Calibri"/>
          <w:sz w:val="22"/>
          <w:szCs w:val="22"/>
        </w:rPr>
        <w:t xml:space="preserve">R² is the only one of the three metrics that is dimensionless, so it allows me to compare predictive quality across the four targets, even though hardness, dissolution, weight RSD and tensile strength are all on different scales. Without R² I cannot say things like "the model is much better at hardness than at dissolution" in a fair way.</w:t>
      </w:r>
    </w:p>
    <w:p>
      <w:pPr>
        <w:spacing w:after="130" w:line="295"/>
        <w:jc w:val="both"/>
      </w:pPr>
      <w:r>
        <w:rPr>
          <w:rFonts w:ascii="Calibri" w:cs="Calibri" w:eastAsia="Calibri" w:hAnsi="Calibri"/>
          <w:sz w:val="22"/>
          <w:szCs w:val="22"/>
        </w:rPr>
        <w:t xml:space="preserve">Each accuracy metric is reported with bootstrap 95 percent confidence intervals (1,000 resamples on the outer CV fold predictions). Without CIs, a single point estimate of RMSE looks more certain than it really is, and apparent improvements over baselines can easily be inside the noise.</w:t>
      </w:r>
    </w:p>
    <w:p>
      <w:pPr>
        <w:spacing w:after="90" w:before="200"/>
      </w:pPr>
      <w:r>
        <w:rPr>
          <w:rFonts w:ascii="Calibri" w:cs="Calibri" w:eastAsia="Calibri" w:hAnsi="Calibri"/>
          <w:b/>
          <w:bCs/>
          <w:sz w:val="26"/>
          <w:szCs w:val="26"/>
        </w:rPr>
        <w:t xml:space="preserve">Calibration metrics for the uncertainty estimates</w:t>
      </w:r>
    </w:p>
    <w:p>
      <w:pPr>
        <w:spacing w:after="130" w:line="295"/>
        <w:jc w:val="both"/>
      </w:pPr>
      <w:r>
        <w:rPr>
          <w:rFonts w:ascii="Calibri" w:cs="Calibri" w:eastAsia="Calibri" w:hAnsi="Calibri"/>
          <w:sz w:val="22"/>
          <w:szCs w:val="22"/>
        </w:rPr>
        <w:t xml:space="preserve">Accuracy says nothing about whether the model's uncertainty is trustworthy. A model could be 95 percent confident on every prediction including the wrong ones (overconfident), or report wide uncertainty on every prediction including the easy ones (underconfident). Calibration metrics catch both.</w:t>
      </w:r>
    </w:p>
    <w:p>
      <w:pPr>
        <w:spacing w:after="70" w:before="140"/>
      </w:pPr>
      <w:r>
        <w:rPr>
          <w:rFonts w:ascii="Calibri" w:cs="Calibri" w:eastAsia="Calibri" w:hAnsi="Calibri"/>
          <w:b/>
          <w:bCs/>
          <w:sz w:val="22"/>
          <w:szCs w:val="22"/>
        </w:rPr>
        <w:t xml:space="preserve">ECE (Expected Calibration Error)</w:t>
      </w:r>
    </w:p>
    <w:p>
      <w:pPr>
        <w:spacing w:after="130" w:line="295"/>
        <w:jc w:val="both"/>
      </w:pPr>
      <w:r>
        <w:rPr>
          <w:rFonts w:ascii="Calibri" w:cs="Calibri" w:eastAsia="Calibri" w:hAnsi="Calibri"/>
          <w:sz w:val="22"/>
          <w:szCs w:val="22"/>
        </w:rPr>
        <w:t xml:space="preserve">ECE is the standard metric for calibration on regression. The predictions are sorted by predicted confidence into bins, and within each bin the average predicted error is compared to the actual observed error. If the model says it is 90 percent confident and is actually right 60 percent of the time, ECE captures that gap. I use 5-bin reliability diagrams which is the common convention in the calibration literature.</w:t>
      </w:r>
    </w:p>
    <w:p>
      <w:pPr>
        <w:spacing w:after="70" w:before="140"/>
      </w:pPr>
      <w:r>
        <w:rPr>
          <w:rFonts w:ascii="Calibri" w:cs="Calibri" w:eastAsia="Calibri" w:hAnsi="Calibri"/>
          <w:b/>
          <w:bCs/>
          <w:sz w:val="22"/>
          <w:szCs w:val="22"/>
        </w:rPr>
        <w:t xml:space="preserve">PICP (Prediction Interval Coverage Probability) with sharpness penalty</w:t>
      </w:r>
    </w:p>
    <w:p>
      <w:pPr>
        <w:spacing w:after="130" w:line="295"/>
        <w:jc w:val="both"/>
      </w:pPr>
      <w:r>
        <w:rPr>
          <w:rFonts w:ascii="Calibri" w:cs="Calibri" w:eastAsia="Calibri" w:hAnsi="Calibri"/>
          <w:sz w:val="22"/>
          <w:szCs w:val="22"/>
        </w:rPr>
        <w:t xml:space="preserve">ECE alone has a known loophole: a model that produces extremely wide prediction intervals will look perfectly calibrated but be useless in practice. PICP measures whether the 80, 90 and 95 percent prediction intervals actually contain the right fraction of true values, and the sharpness penalty downgrades intervals that are wider than they need to be. The two metrics together stop a model from gaming calibration by being trivially uncertain.</w:t>
      </w:r>
    </w:p>
    <w:p>
      <w:pPr>
        <w:spacing w:after="90" w:before="200"/>
      </w:pPr>
      <w:r>
        <w:rPr>
          <w:rFonts w:ascii="Calibri" w:cs="Calibri" w:eastAsia="Calibri" w:hAnsi="Calibri"/>
          <w:b/>
          <w:bCs/>
          <w:sz w:val="26"/>
          <w:szCs w:val="26"/>
        </w:rPr>
        <w:t xml:space="preserve">Attribution analysis metric</w:t>
      </w:r>
    </w:p>
    <w:p>
      <w:pPr>
        <w:spacing w:after="70" w:before="140"/>
      </w:pPr>
      <w:r>
        <w:rPr>
          <w:rFonts w:ascii="Calibri" w:cs="Calibri" w:eastAsia="Calibri" w:hAnsi="Calibri"/>
          <w:b/>
          <w:bCs/>
          <w:sz w:val="22"/>
          <w:szCs w:val="22"/>
        </w:rPr>
        <w:t xml:space="preserve">Kendall's τ permutation test</w:t>
      </w:r>
    </w:p>
    <w:p>
      <w:pPr>
        <w:spacing w:after="130" w:line="295"/>
        <w:jc w:val="both"/>
      </w:pPr>
      <w:r>
        <w:rPr>
          <w:rFonts w:ascii="Calibri" w:cs="Calibri" w:eastAsia="Calibri" w:hAnsi="Calibri"/>
          <w:sz w:val="22"/>
          <w:szCs w:val="22"/>
        </w:rPr>
        <w:t xml:space="preserve">The novel contribution of the thesis is uncertainty-stratified attribution. I split predictions into low / medium / high epistemic uncertainty bins, compute integrated gradients per batch, and ask: do confident and uncertain predictions look at different parts of the trajectory? Kendall's τ is used because it is a rank correlation, not a value correlation. Two attribution maps that highlight the same time windows in the same order should have high τ even if the absolute magnitudes differ across uncertainty bins. The permutation test gives a p-value for the null hypothesis that confident and uncertain predictions attend to the same regions. A small p-value is the evidence that the uncertainty-stratified explanation idea is doing something real, not just noise.</w:t>
      </w:r>
    </w:p>
    <w:p>
      <w:pPr>
        <w:spacing w:after="90" w:before="200"/>
      </w:pPr>
      <w:r>
        <w:rPr>
          <w:rFonts w:ascii="Calibri" w:cs="Calibri" w:eastAsia="Calibri" w:hAnsi="Calibri"/>
          <w:b/>
          <w:bCs/>
          <w:sz w:val="26"/>
          <w:szCs w:val="26"/>
        </w:rPr>
        <w:t xml:space="preserve">Statistical testing machinery</w:t>
      </w:r>
    </w:p>
    <w:p>
      <w:pPr>
        <w:spacing w:after="70" w:before="140"/>
      </w:pPr>
      <w:r>
        <w:rPr>
          <w:rFonts w:ascii="Calibri" w:cs="Calibri" w:eastAsia="Calibri" w:hAnsi="Calibri"/>
          <w:b/>
          <w:bCs/>
          <w:sz w:val="22"/>
          <w:szCs w:val="22"/>
        </w:rPr>
        <w:t xml:space="preserve">Nadeau-Bengio corrected repeated-measures test</w:t>
      </w:r>
    </w:p>
    <w:p>
      <w:pPr>
        <w:spacing w:after="130" w:line="295"/>
        <w:jc w:val="both"/>
      </w:pPr>
      <w:r>
        <w:rPr>
          <w:rFonts w:ascii="Calibri" w:cs="Calibri" w:eastAsia="Calibri" w:hAnsi="Calibri"/>
          <w:sz w:val="22"/>
          <w:szCs w:val="22"/>
        </w:rPr>
        <w:t xml:space="preserve">The standard paired t-test on cross-validation folds is known to inflate Type-I error rates because the folds are not independent (they share most of the training data). Nadeau and Bengio (2003) proposed a variance correction that adjusts for this exact issue. Mahynski et al. (2025) showed in a food fraud case study that ignoring this correction leads to apparent improvements that are not statistically real. Since this thesis is comparing several models, using the uncorrected test would put any claimed gains on shaky ground.</w:t>
      </w:r>
    </w:p>
    <w:p>
      <w:pPr>
        <w:spacing w:after="70" w:before="140"/>
      </w:pPr>
      <w:r>
        <w:rPr>
          <w:rFonts w:ascii="Calibri" w:cs="Calibri" w:eastAsia="Calibri" w:hAnsi="Calibri"/>
          <w:b/>
          <w:bCs/>
          <w:sz w:val="22"/>
          <w:szCs w:val="22"/>
        </w:rPr>
        <w:t xml:space="preserve">Benjamini-Hochberg correction for multiple comparisons</w:t>
      </w:r>
    </w:p>
    <w:p>
      <w:pPr>
        <w:spacing w:after="130" w:line="295"/>
        <w:jc w:val="both"/>
      </w:pPr>
      <w:r>
        <w:rPr>
          <w:rFonts w:ascii="Calibri" w:cs="Calibri" w:eastAsia="Calibri" w:hAnsi="Calibri"/>
          <w:sz w:val="22"/>
          <w:szCs w:val="22"/>
        </w:rPr>
        <w:t xml:space="preserve">I run twelve pairwise comparisons across the four targets and three baseline comparisons. Running twelve independent tests at p &lt; 0.05 means a 46 percent chance of at least one false positive by random luck alone. The Benjamini-Hochberg procedure controls the false discovery rate at 5 percent across the family of tests, which is the right thing to do when the comparisons are correlated (as they are here).</w:t>
      </w:r>
    </w:p>
    <w:p>
      <w:pPr>
        <w:spacing w:after="90" w:before="200"/>
      </w:pPr>
      <w:r>
        <w:rPr>
          <w:rFonts w:ascii="Calibri" w:cs="Calibri" w:eastAsia="Calibri" w:hAnsi="Calibri"/>
          <w:b/>
          <w:bCs/>
          <w:sz w:val="26"/>
          <w:szCs w:val="26"/>
        </w:rPr>
        <w:t xml:space="preserve">Summary: which metric answers which research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6"/>
      </w:tblGrid>
      <w:tr>
        <w:trPr>
          <w:tblHeader/>
        </w:trPr>
        <w:tc>
          <w:tcPr>
            <w:tcW w:type="dxa" w:w="3300"/>
            <w:tcBorders>
              <w:top w:val="single" w:color="BFBFBF" w:sz="4"/>
              <w:left w:val="single" w:color="BFBFBF" w:sz="4"/>
              <w:bottom w:val="single" w:color="BFBFBF" w:sz="4"/>
              <w:right w:val="single" w:color="BFBFBF" w:sz="4"/>
            </w:tcBorders>
            <w:shd w:fill="E7E6E6" w:val="clear"/>
            <w:tcMar>
              <w:top w:type="dxa" w:w="70"/>
              <w:left w:type="dxa" w:w="110"/>
              <w:bottom w:type="dxa" w:w="70"/>
              <w:right w:type="dxa" w:w="110"/>
            </w:tcMar>
          </w:tcPr>
          <w:p>
            <w:pPr>
              <w:spacing w:after="0"/>
            </w:pPr>
            <w:r>
              <w:rPr>
                <w:rFonts w:ascii="Calibri" w:cs="Calibri" w:eastAsia="Calibri" w:hAnsi="Calibri"/>
                <w:b/>
                <w:bCs/>
                <w:sz w:val="19"/>
                <w:szCs w:val="19"/>
              </w:rPr>
              <w:t xml:space="preserve">Research question</w:t>
            </w:r>
          </w:p>
        </w:tc>
        <w:tc>
          <w:tcPr>
            <w:tcW w:type="dxa" w:w="3300"/>
            <w:tcBorders>
              <w:top w:val="single" w:color="BFBFBF" w:sz="4"/>
              <w:left w:val="single" w:color="BFBFBF" w:sz="4"/>
              <w:bottom w:val="single" w:color="BFBFBF" w:sz="4"/>
              <w:right w:val="single" w:color="BFBFBF" w:sz="4"/>
            </w:tcBorders>
            <w:shd w:fill="E7E6E6" w:val="clear"/>
            <w:tcMar>
              <w:top w:type="dxa" w:w="70"/>
              <w:left w:type="dxa" w:w="110"/>
              <w:bottom w:type="dxa" w:w="70"/>
              <w:right w:type="dxa" w:w="110"/>
            </w:tcMar>
          </w:tcPr>
          <w:p>
            <w:pPr>
              <w:spacing w:after="0"/>
            </w:pPr>
            <w:r>
              <w:rPr>
                <w:rFonts w:ascii="Calibri" w:cs="Calibri" w:eastAsia="Calibri" w:hAnsi="Calibri"/>
                <w:b/>
                <w:bCs/>
                <w:sz w:val="19"/>
                <w:szCs w:val="19"/>
              </w:rPr>
              <w:t xml:space="preserve">Primary metric</w:t>
            </w:r>
          </w:p>
        </w:tc>
        <w:tc>
          <w:tcPr>
            <w:tcW w:type="dxa" w:w="3306"/>
            <w:tcBorders>
              <w:top w:val="single" w:color="BFBFBF" w:sz="4"/>
              <w:left w:val="single" w:color="BFBFBF" w:sz="4"/>
              <w:bottom w:val="single" w:color="BFBFBF" w:sz="4"/>
              <w:right w:val="single" w:color="BFBFBF" w:sz="4"/>
            </w:tcBorders>
            <w:shd w:fill="E7E6E6" w:val="clear"/>
            <w:tcMar>
              <w:top w:type="dxa" w:w="70"/>
              <w:left w:type="dxa" w:w="110"/>
              <w:bottom w:type="dxa" w:w="70"/>
              <w:right w:type="dxa" w:w="110"/>
            </w:tcMar>
          </w:tcPr>
          <w:p>
            <w:pPr>
              <w:spacing w:after="0"/>
            </w:pPr>
            <w:r>
              <w:rPr>
                <w:rFonts w:ascii="Calibri" w:cs="Calibri" w:eastAsia="Calibri" w:hAnsi="Calibri"/>
                <w:b/>
                <w:bCs/>
                <w:sz w:val="19"/>
                <w:szCs w:val="19"/>
              </w:rPr>
              <w:t xml:space="preserve">Supporting metrics</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RQ1 — Trajectory vs engineered features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RMSE difference + Nadeau-Bengio test (p &lt; 0.05 with BH correction)</w:t>
            </w:r>
          </w:p>
        </w:tc>
        <w:tc>
          <w:tcPr>
            <w:tcW w:type="dxa" w:w="3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MAE, R², bootstrap CIs</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RQ2 — Multi-task vs single-task</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Per-target RMSE on three lower-correlation tasks</w:t>
            </w:r>
          </w:p>
        </w:tc>
        <w:tc>
          <w:tcPr>
            <w:tcW w:type="dxa" w:w="3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MAE, R², no significant degradation check on tensile strength</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RQ3a — Calibrated uncertainty under OOD</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ECE + PICP on leave-one-product-code-out folds</w:t>
            </w:r>
          </w:p>
        </w:tc>
        <w:tc>
          <w:tcPr>
            <w:tcW w:type="dxa" w:w="3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Sharpness penalty</w:t>
            </w:r>
          </w:p>
        </w:tc>
      </w:tr>
      <w:t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RQ3b — Uncertainty-stratified attribution</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Kendall's τ permutation test across uncertainty bins</w:t>
            </w:r>
          </w:p>
        </w:tc>
        <w:tc>
          <w:tcPr>
            <w:tcW w:type="dxa" w:w="3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Top-10 salient window overlap</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2026-05-26T11:36:08.825Z</dcterms:created>
  <dcterms:modified xsi:type="dcterms:W3CDTF">2026-05-26T11:36:08.825Z</dcterms:modified>
</cp:coreProperties>
</file>

<file path=docProps/custom.xml><?xml version="1.0" encoding="utf-8"?>
<Properties xmlns="http://schemas.openxmlformats.org/officeDocument/2006/custom-properties" xmlns:vt="http://schemas.openxmlformats.org/officeDocument/2006/docPropsVTypes"/>
</file>