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Data Collection and Preprocessing Report</w:t>
      </w:r>
    </w:p>
    <w:p>
      <w:pPr>
        <w:spacing w:after="30"/>
      </w:pPr>
      <w:r>
        <w:rPr>
          <w:rFonts w:ascii="Calibri" w:cs="Calibri" w:eastAsia="Calibri" w:hAnsi="Calibri"/>
          <w:b/>
          <w:bCs/>
          <w:sz w:val="22"/>
          <w:szCs w:val="22"/>
        </w:rPr>
        <w:t xml:space="preserve">Trustworthy Deep Learning for Pharmaceutical Tablet Quality Prediction</w:t>
      </w:r>
    </w:p>
    <w:p>
      <w:pPr>
        <w:spacing w:after="140"/>
      </w:pPr>
      <w:r>
        <w:rPr>
          <w:rFonts w:ascii="Calibri" w:cs="Calibri" w:eastAsia="Calibri" w:hAnsi="Calibri"/>
          <w:i/>
          <w:iCs/>
          <w:sz w:val="18"/>
          <w:szCs w:val="18"/>
        </w:rPr>
        <w:t xml:space="preserve">Arpit Joshua Elias  |  24257567  |  MSc in Artificial Intelligence  |  Practicum CA2  |  28 May 2026</w:t>
      </w:r>
    </w:p>
    <w:p>
      <w:pPr>
        <w:spacing w:after="80" w:before="180"/>
      </w:pPr>
      <w:r>
        <w:rPr>
          <w:rFonts w:ascii="Calibri" w:cs="Calibri" w:eastAsia="Calibri" w:hAnsi="Calibri"/>
          <w:b/>
          <w:bCs/>
          <w:sz w:val="26"/>
          <w:szCs w:val="26"/>
        </w:rPr>
        <w:t xml:space="preserve">Data collection</w:t>
      </w:r>
    </w:p>
    <w:p>
      <w:pPr>
        <w:spacing w:after="120" w:line="290"/>
        <w:jc w:val="both"/>
      </w:pPr>
      <w:r>
        <w:rPr>
          <w:rFonts w:ascii="Calibri" w:cs="Calibri" w:eastAsia="Calibri" w:hAnsi="Calibri"/>
          <w:sz w:val="22"/>
          <w:szCs w:val="22"/>
        </w:rPr>
        <w:t xml:space="preserve">The dataset comes from a single source: the Žagar and Mihelič (2022) figshare collection (CC BY 4.0). The three batch-level files (Process.csv, Laboratory.csv, Normalization.csv) are already downloaded and verified locally with the expected row counts of 1,005, 1,005 and 25. The 25 time-series CSV files (~600 MB combined) are downloaded next and will then be uploaded as a private Kaggle Dataset for use inside training notebooks. No external data is being added and nothing is being scraped.</w:t>
      </w:r>
    </w:p>
    <w:p>
      <w:pPr>
        <w:spacing w:after="80" w:before="180"/>
      </w:pPr>
      <w:r>
        <w:rPr>
          <w:rFonts w:ascii="Calibri" w:cs="Calibri" w:eastAsia="Calibri" w:hAnsi="Calibri"/>
          <w:b/>
          <w:bCs/>
          <w:sz w:val="26"/>
          <w:szCs w:val="26"/>
        </w:rPr>
        <w:t xml:space="preserve">Preprocessing pipeline (four stages)</w:t>
      </w:r>
    </w:p>
    <w:p>
      <w:pPr>
        <w:spacing w:after="120" w:line="290"/>
        <w:jc w:val="both"/>
      </w:pPr>
      <w:r>
        <w:rPr>
          <w:rFonts w:ascii="Calibri" w:cs="Calibri" w:eastAsia="Calibri" w:hAnsi="Calibri"/>
          <w:sz w:val="22"/>
          <w:szCs w:val="22"/>
        </w:rPr>
        <w:t xml:space="preserve">The pipeline has four ordered stages. Each one does a single job and has a verification check at the end so problems get caught before they reach the model.</w:t>
      </w:r>
    </w:p>
    <w:p>
      <w:pPr>
        <w:spacing w:after="60" w:before="120"/>
      </w:pPr>
      <w:r>
        <w:rPr>
          <w:rFonts w:ascii="Calibri" w:cs="Calibri" w:eastAsia="Calibri" w:hAnsi="Calibri"/>
          <w:b/>
          <w:bCs/>
          <w:sz w:val="22"/>
          <w:szCs w:val="22"/>
        </w:rPr>
        <w:t xml:space="preserve">Stage 1 — Standardise the 25 time-series CSV files</w:t>
      </w:r>
    </w:p>
    <w:p>
      <w:pPr>
        <w:spacing w:after="120" w:line="290"/>
        <w:jc w:val="both"/>
      </w:pPr>
      <w:r>
        <w:rPr>
          <w:rFonts w:ascii="Calibri" w:cs="Calibri" w:eastAsia="Calibri" w:hAnsi="Calibri"/>
          <w:sz w:val="22"/>
          <w:szCs w:val="22"/>
        </w:rPr>
        <w:t xml:space="preserve">The 25 files use slightly different separators (comma vs semicolon) and timestamp formats. Stage 1 brings them all to a common format: semicolon separator, ISO 8601 timestamps, lowercase column names. Skipping this would push the edge cases into every later step and risk silent off-by-one errors in the joins. Check: row counts unchanged, exactly 10 sensor channels plus timestamp.</w:t>
      </w:r>
    </w:p>
    <w:p>
      <w:pPr>
        <w:spacing w:after="60" w:before="120"/>
      </w:pPr>
      <w:r>
        <w:rPr>
          <w:rFonts w:ascii="Calibri" w:cs="Calibri" w:eastAsia="Calibri" w:hAnsi="Calibri"/>
          <w:b/>
          <w:bCs/>
          <w:sz w:val="22"/>
          <w:szCs w:val="22"/>
        </w:rPr>
        <w:t xml:space="preserve">Stage 2 — Z-score normalise sensor channels within each product code</w:t>
      </w:r>
    </w:p>
    <w:p>
      <w:pPr>
        <w:spacing w:after="120" w:line="290"/>
        <w:jc w:val="both"/>
      </w:pPr>
      <w:r>
        <w:rPr>
          <w:rFonts w:ascii="Calibri" w:cs="Calibri" w:eastAsia="Calibri" w:hAnsi="Calibri"/>
          <w:sz w:val="22"/>
          <w:szCs w:val="22"/>
        </w:rPr>
        <w:t xml:space="preserve">The 10 channels live on very different scales (force in kN, fill in mm, speed in tablets/hour). Different product codes also use slightly different sensor ranges because the tablets vary in size and strength. Normalising globally would let product-code identity leak through scale, so the z-score is computed within each product code separately. This matches the dataset paper's own approach. Check: each channel within each code has mean about 0 and std about 1 after normalisation.</w:t>
      </w:r>
    </w:p>
    <w:p>
      <w:pPr>
        <w:spacing w:after="60" w:before="120"/>
      </w:pPr>
      <w:r>
        <w:rPr>
          <w:rFonts w:ascii="Calibri" w:cs="Calibri" w:eastAsia="Calibri" w:hAnsi="Calibri"/>
          <w:b/>
          <w:bCs/>
          <w:sz w:val="22"/>
          <w:szCs w:val="22"/>
        </w:rPr>
        <w:t xml:space="preserve">Stage 3 — Join trajectories to Laboratory.csv on batch ID</w:t>
      </w:r>
    </w:p>
    <w:p>
      <w:pPr>
        <w:spacing w:after="120" w:line="290"/>
        <w:jc w:val="both"/>
      </w:pPr>
      <w:r>
        <w:rPr>
          <w:rFonts w:ascii="Calibri" w:cs="Calibri" w:eastAsia="Calibri" w:hAnsi="Calibri"/>
          <w:sz w:val="22"/>
          <w:szCs w:val="22"/>
        </w:rPr>
        <w:t xml:space="preserve">Each trajectory's batch ID maps to one row in Laboratory.csv, which holds the four regression targets (dissolution_av, tbl_av_hardness, tbl_rsd_weight, fct_tensile). An inner join is used so any orphan trajectory or unmatched lab row gets flagged instead of silently dropped. Check: joined dataframe has exactly 1,005 unique batch IDs and all four targets at 100 percent coverage.</w:t>
      </w:r>
    </w:p>
    <w:p>
      <w:pPr>
        <w:spacing w:after="60" w:before="120"/>
      </w:pPr>
      <w:r>
        <w:rPr>
          <w:rFonts w:ascii="Calibri" w:cs="Calibri" w:eastAsia="Calibri" w:hAnsi="Calibri"/>
          <w:b/>
          <w:bCs/>
          <w:sz w:val="22"/>
          <w:szCs w:val="22"/>
        </w:rPr>
        <w:t xml:space="preserve">Stage 4 — Add gap-indicator channel</w:t>
      </w:r>
    </w:p>
    <w:p>
      <w:pPr>
        <w:spacing w:after="120" w:line="290"/>
        <w:jc w:val="both"/>
      </w:pPr>
      <w:r>
        <w:rPr>
          <w:rFonts w:ascii="Calibri" w:cs="Calibri" w:eastAsia="Calibri" w:hAnsi="Calibri"/>
          <w:sz w:val="22"/>
          <w:szCs w:val="22"/>
        </w:rPr>
        <w:t xml:space="preserve">Production lines stop on weekends, shift changes and calibration events. These gaps look like idle values in the data, and if the TCN encoder treats them as real signal it will try to interpolate through them. Stage 4 adds an 11th binary channel: 1 for real production samples, 0 for gap windows. Gaps are detected by two rules: 10 channels simultaneously below tolerance for 5+ consecutive samples, or a timestamp gap larger than the 10-second cadence. Check: gap channel is binary and most batches sit in the 5-30 percent gap range; anything above 70 percent flags a detection error.</w:t>
      </w:r>
    </w:p>
    <w:p>
      <w:pPr>
        <w:spacing w:after="80" w:before="180"/>
      </w:pPr>
      <w:r>
        <w:rPr>
          <w:rFonts w:ascii="Calibri" w:cs="Calibri" w:eastAsia="Calibri" w:hAnsi="Calibri"/>
          <w:b/>
          <w:bCs/>
          <w:sz w:val="26"/>
          <w:szCs w:val="26"/>
        </w:rPr>
        <w:t xml:space="preserve">Output and code organisation</w:t>
      </w:r>
    </w:p>
    <w:p>
      <w:pPr>
        <w:spacing w:after="120" w:line="290"/>
        <w:jc w:val="both"/>
      </w:pPr>
      <w:r>
        <w:rPr>
          <w:rFonts w:ascii="Calibri" w:cs="Calibri" w:eastAsia="Calibri" w:hAnsi="Calibri"/>
          <w:sz w:val="22"/>
          <w:szCs w:val="22"/>
        </w:rPr>
        <w:t xml:space="preserve">After the four stages, each batch is a tensor of shape (T, 11) — 10 normalised sensor channels plus the gap indicator — paired with a length-4 target vector and the product code as metadata for the OOD evaluation. The full preprocessed dataset is saved as a single PyTorch object and uploaded to Kaggle as a private dataset so training notebooks do not redo preprocessing each session. Implementation uses Python 3.11 with pandas, NumPy and PyTorch only. Code lives in a GitHub repository being set up this week with one script per stage and a single run_pipeline.py that runs all four end to end.</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2026-05-26T11:33:06.862Z</dcterms:created>
  <dcterms:modified xsi:type="dcterms:W3CDTF">2026-05-26T11:33:06.877Z</dcterms:modified>
</cp:coreProperties>
</file>

<file path=docProps/custom.xml><?xml version="1.0" encoding="utf-8"?>
<Properties xmlns="http://schemas.openxmlformats.org/officeDocument/2006/custom-properties" xmlns:vt="http://schemas.openxmlformats.org/officeDocument/2006/docPropsVTypes"/>
</file>