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32"/>
          <w:szCs w:val="32"/>
        </w:rPr>
        <w:t xml:space="preserve">Revised Research Questions</w:t>
      </w:r>
    </w:p>
    <w:p>
      <w:pPr>
        <w:spacing w:after="30"/>
      </w:pPr>
      <w:r>
        <w:rPr>
          <w:rFonts w:ascii="Calibri" w:cs="Calibri" w:eastAsia="Calibri" w:hAnsi="Calibri"/>
          <w:b/>
          <w:bCs/>
          <w:sz w:val="22"/>
          <w:szCs w:val="22"/>
        </w:rPr>
        <w:t xml:space="preserve">Following 28 May meeting feedback</w:t>
      </w:r>
    </w:p>
    <w:p>
      <w:pPr>
        <w:spacing w:after="160"/>
      </w:pPr>
      <w:r>
        <w:rPr>
          <w:rFonts w:ascii="Calibri" w:cs="Calibri" w:eastAsia="Calibri" w:hAnsi="Calibri"/>
          <w:i/>
          <w:iCs/>
          <w:sz w:val="18"/>
          <w:szCs w:val="18"/>
        </w:rPr>
        <w:t xml:space="preserve">Arpit Joshua Elias  |  24257567  |  MSc in Artificial Intelligence  |  Practicum CA2</w:t>
      </w:r>
    </w:p>
    <w:p>
      <w:pPr>
        <w:spacing w:after="130" w:line="290"/>
        <w:jc w:val="both"/>
      </w:pPr>
      <w:r>
        <w:rPr>
          <w:rFonts w:ascii="Calibri" w:cs="Calibri" w:eastAsia="Calibri" w:hAnsi="Calibri"/>
          <w:sz w:val="22"/>
          <w:szCs w:val="22"/>
        </w:rPr>
        <w:t xml:space="preserve">After our last meeting, I have reframed the three research questions in the quantifiable format you suggested. I also split the original RQ3 into two parts (calibration and attribution), since each is measured against a different metric, and switched the attribution method to SHAP as you suggested.</w:t>
      </w:r>
    </w:p>
    <w:p>
      <w:pPr>
        <w:spacing w:after="80" w:before="180"/>
      </w:pPr>
      <w:r>
        <w:rPr>
          <w:rFonts w:ascii="Calibri" w:cs="Calibri" w:eastAsia="Calibri" w:hAnsi="Calibri"/>
          <w:b/>
          <w:bCs/>
          <w:sz w:val="26"/>
          <w:szCs w:val="26"/>
        </w:rPr>
        <w:t xml:space="preserve">Original vs revised research questions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rPr>
          <w:tblHeader/>
        </w:trPr>
        <w:tc>
          <w:tcPr>
            <w:tcW w:type="dxa" w:w="49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Original (qualitative)</w:t>
            </w:r>
          </w:p>
        </w:tc>
        <w:tc>
          <w:tcPr>
            <w:tcW w:type="dxa" w:w="49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Revised (quantifiable, in your format)</w:t>
            </w:r>
          </w:p>
        </w:tc>
      </w:tr>
      <w:tr>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RQ1: Does putting raw time-series data into a deep learning model give better results than 28 engineered features in classical ML?</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RQ1: To what extent does MT-TrajNet (TCN-based deep learning on raw 10-second sensor trajectories) outperform LASSO and XGBoost (on engineered batch-level features) in RMSE on the four quality targets, under nested 10-fold cross-validation on the Žagar and Mihelič (2022) dataset?</w:t>
            </w:r>
          </w:p>
        </w:tc>
      </w:tr>
      <w:tr>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RQ2: Should we build one model that predicts all four outcomes together, or four separate models?</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RQ2: To what extent does a multi-task MT-TrajNet with a shared TCN encoder and four task heads outperform four independently trained single-task MT-TrajNet networks, in per-target RMSE on dissolution, hardness, weight RSD, and tensile strength, under nested 10-fold cross-validation?</w:t>
            </w:r>
          </w:p>
        </w:tc>
      </w:tr>
      <w:tr>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RQ3 (Part 1): Does the model's confidence stay honest when a new product is introduced?</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RQ3a: To what extent does the evidential uncertainty output of MT-TrajNet remain calibrated, measured by Expected Calibration Error and 90% Prediction Interval Coverage, under leave-one-product-code-out evaluation on the six product codes with at least 50 batches?</w:t>
            </w:r>
          </w:p>
        </w:tc>
      </w:tr>
      <w:tr>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RQ3 (Part 2): When the model is confident vs uncertain, does it focus on different parts of the trajectory?</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RQ3b: To what extent do SHAP attribution maps differ between high-confidence and low-confidence predictions, measured by Kendall's tau rank correlation on the top-10 salient time windows, under permutation testing across low / medium / high epistemic uncertainty bins?</w:t>
            </w:r>
          </w:p>
        </w:tc>
      </w:tr>
    </w:tbl>
    <w:p>
      <w:pPr>
        <w:spacing w:after="80" w:before="180"/>
      </w:pPr>
      <w:r>
        <w:rPr>
          <w:rFonts w:ascii="Calibri" w:cs="Calibri" w:eastAsia="Calibri" w:hAnsi="Calibri"/>
          <w:b/>
          <w:bCs/>
          <w:sz w:val="26"/>
          <w:szCs w:val="26"/>
        </w:rPr>
        <w:t xml:space="preserve">Note on the SHAP change</w:t>
      </w:r>
    </w:p>
    <w:p>
      <w:pPr>
        <w:spacing w:after="130" w:line="290"/>
        <w:jc w:val="both"/>
      </w:pPr>
      <w:r>
        <w:rPr>
          <w:rFonts w:ascii="Calibri" w:cs="Calibri" w:eastAsia="Calibri" w:hAnsi="Calibri"/>
          <w:sz w:val="22"/>
          <w:szCs w:val="22"/>
        </w:rPr>
        <w:t xml:space="preserve">I am switching the attribution method from integrated gradients to SHAP. The analytical approach stays the same: I still split predictions into low, medium, and high epistemic uncertainty bins and compare attribution patterns using Kendall's tau. Only the underlying method changes. SHAP is more standard and easier to defend in a regulated setting, which makes RQ3b more straightforward.</w:t>
      </w:r>
    </w:p>
    <w:p>
      <w:pPr>
        <w:spacing w:after="80" w:before="180"/>
      </w:pPr>
      <w:r>
        <w:rPr>
          <w:rFonts w:ascii="Calibri" w:cs="Calibri" w:eastAsia="Calibri" w:hAnsi="Calibri"/>
          <w:b/>
          <w:bCs/>
          <w:sz w:val="26"/>
          <w:szCs w:val="26"/>
        </w:rPr>
        <w:t xml:space="preserve">Note from the exploratory data analysis</w:t>
      </w:r>
    </w:p>
    <w:p>
      <w:pPr>
        <w:spacing w:after="130" w:line="290"/>
        <w:jc w:val="both"/>
      </w:pPr>
      <w:r>
        <w:rPr>
          <w:rFonts w:ascii="Calibri" w:cs="Calibri" w:eastAsia="Calibri" w:hAnsi="Calibri"/>
          <w:sz w:val="22"/>
          <w:szCs w:val="22"/>
        </w:rPr>
        <w:t xml:space="preserve">Running the EDA on the full dataset (1,005 batches) showed the four targets are not equally related. Dissolution, hardness, and tensile strength are moderately correlated (for example dissolution and tensile at 0.52, hardness and tensile at -0.38), but weight RSD is essentially independent of the other three. This makes physical sense: the first three depend on how the powder compacts, while weight RSD depends on fill consistency. This sharpens RQ2. Rather than expecting multi-task learning to help all four targets equally, I now expect it to help the three coupled targets more than weight RSD.</w:t>
      </w:r>
    </w:p>
    <w:p>
      <w:pPr>
        <w:spacing w:after="130" w:line="290"/>
        <w:jc w:val="both"/>
      </w:pPr>
      <w:r>
        <w:rPr>
          <w:rFonts w:ascii="Calibri" w:cs="Calibri" w:eastAsia="Calibri" w:hAnsi="Calibri"/>
          <w:sz w:val="22"/>
          <w:szCs w:val="22"/>
        </w:rPr>
        <w:t xml:space="preserve">A data audit also found that product code alone explains up to 89 percent of the variance in hardness and tensile strength. This supports RQ3a: product identity must be excluded from the model inputs to avoid leakage, and holding out entire product codes (leave-one-product-code-out) is the honest test because it forces the model to predict from the sensors rather than memorising products. I wanted to check the RQ2 framing with you before locking it in, and please let me know if anything else needs adjustment.</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2026-06-01T23:42:33.003Z</dcterms:created>
  <dcterms:modified xsi:type="dcterms:W3CDTF">2026-06-01T23:42:33.004Z</dcterms:modified>
</cp:coreProperties>
</file>

<file path=docProps/custom.xml><?xml version="1.0" encoding="utf-8"?>
<Properties xmlns="http://schemas.openxmlformats.org/officeDocument/2006/custom-properties" xmlns:vt="http://schemas.openxmlformats.org/officeDocument/2006/docPropsVTypes"/>
</file>