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Follow-up Tasks: Baselines, Hardness, and Shared-Encoder Check</w:t>
      </w:r>
    </w:p>
    <w:p>
      <w:r>
        <w:t>Arpit Joshua Elias (24257567) | MSc Artificial Intelligence</w:t>
      </w:r>
    </w:p>
    <w:p/>
    <w:p>
      <w:r>
        <w:t>Sir, I have completed the three implementation tasks you gave me in our meeting. Here is what I did and what I found.</w:t>
      </w:r>
    </w:p>
    <w:p>
      <w:r>
        <w:rPr>
          <w:b/>
        </w:rPr>
        <w:t>1. Baselines on all four targets</w:t>
      </w:r>
    </w:p>
    <w:p>
      <w:r>
        <w:t>I ran the baselines (dummy, LASSO, XGBoost, and the tuned versions) across all four targets and put them in one table next to MT-TrajNet. RMSE, lower is better:</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Target</w:t>
            </w:r>
          </w:p>
        </w:tc>
        <w:tc>
          <w:tcPr>
            <w:tcW w:type="dxa" w:w="1234"/>
          </w:tcPr>
          <w:p>
            <w:r>
              <w:rPr>
                <w:b/>
                <w:sz w:val="17"/>
              </w:rPr>
              <w:t>dummy</w:t>
            </w:r>
          </w:p>
        </w:tc>
        <w:tc>
          <w:tcPr>
            <w:tcW w:type="dxa" w:w="1234"/>
          </w:tcPr>
          <w:p>
            <w:r>
              <w:rPr>
                <w:b/>
                <w:sz w:val="17"/>
              </w:rPr>
              <w:t>lasso</w:t>
            </w:r>
          </w:p>
        </w:tc>
        <w:tc>
          <w:tcPr>
            <w:tcW w:type="dxa" w:w="1234"/>
          </w:tcPr>
          <w:p>
            <w:r>
              <w:rPr>
                <w:b/>
                <w:sz w:val="17"/>
              </w:rPr>
              <w:t>xgb</w:t>
            </w:r>
          </w:p>
        </w:tc>
        <w:tc>
          <w:tcPr>
            <w:tcW w:type="dxa" w:w="1234"/>
          </w:tcPr>
          <w:p>
            <w:r>
              <w:rPr>
                <w:b/>
                <w:sz w:val="17"/>
              </w:rPr>
              <w:t>lasso_tuned</w:t>
            </w:r>
          </w:p>
        </w:tc>
        <w:tc>
          <w:tcPr>
            <w:tcW w:type="dxa" w:w="1234"/>
          </w:tcPr>
          <w:p>
            <w:r>
              <w:rPr>
                <w:b/>
                <w:sz w:val="17"/>
              </w:rPr>
              <w:t>xgb_tuned</w:t>
            </w:r>
          </w:p>
        </w:tc>
        <w:tc>
          <w:tcPr>
            <w:tcW w:type="dxa" w:w="1234"/>
          </w:tcPr>
          <w:p>
            <w:r>
              <w:rPr>
                <w:b/>
                <w:sz w:val="17"/>
              </w:rPr>
              <w:t>MT-TrajNet</w:t>
            </w:r>
          </w:p>
        </w:tc>
      </w:tr>
      <w:tr>
        <w:tc>
          <w:tcPr>
            <w:tcW w:type="dxa" w:w="1234"/>
          </w:tcPr>
          <w:p>
            <w:r>
              <w:rPr>
                <w:sz w:val="17"/>
              </w:rPr>
              <w:t>dissolution_av</w:t>
            </w:r>
          </w:p>
        </w:tc>
        <w:tc>
          <w:tcPr>
            <w:tcW w:type="dxa" w:w="1234"/>
          </w:tcPr>
          <w:p>
            <w:r>
              <w:rPr>
                <w:sz w:val="17"/>
              </w:rPr>
              <w:t>3.512</w:t>
            </w:r>
          </w:p>
        </w:tc>
        <w:tc>
          <w:tcPr>
            <w:tcW w:type="dxa" w:w="1234"/>
          </w:tcPr>
          <w:p>
            <w:r>
              <w:rPr>
                <w:sz w:val="17"/>
              </w:rPr>
              <w:t>3.119</w:t>
            </w:r>
          </w:p>
        </w:tc>
        <w:tc>
          <w:tcPr>
            <w:tcW w:type="dxa" w:w="1234"/>
          </w:tcPr>
          <w:p>
            <w:r>
              <w:rPr>
                <w:sz w:val="17"/>
              </w:rPr>
              <w:t>3.147</w:t>
            </w:r>
          </w:p>
        </w:tc>
        <w:tc>
          <w:tcPr>
            <w:tcW w:type="dxa" w:w="1234"/>
          </w:tcPr>
          <w:p>
            <w:r>
              <w:rPr>
                <w:sz w:val="17"/>
              </w:rPr>
              <w:t>3.102</w:t>
            </w:r>
          </w:p>
        </w:tc>
        <w:tc>
          <w:tcPr>
            <w:tcW w:type="dxa" w:w="1234"/>
          </w:tcPr>
          <w:p>
            <w:r>
              <w:rPr>
                <w:sz w:val="17"/>
              </w:rPr>
              <w:t>3.010</w:t>
            </w:r>
          </w:p>
        </w:tc>
        <w:tc>
          <w:tcPr>
            <w:tcW w:type="dxa" w:w="1234"/>
          </w:tcPr>
          <w:p>
            <w:r>
              <w:rPr>
                <w:sz w:val="17"/>
              </w:rPr>
              <w:t>3.703</w:t>
            </w:r>
          </w:p>
        </w:tc>
      </w:tr>
      <w:tr>
        <w:tc>
          <w:tcPr>
            <w:tcW w:type="dxa" w:w="1234"/>
          </w:tcPr>
          <w:p>
            <w:r>
              <w:rPr>
                <w:sz w:val="17"/>
              </w:rPr>
              <w:t>tbl_av_hardness</w:t>
            </w:r>
          </w:p>
        </w:tc>
        <w:tc>
          <w:tcPr>
            <w:tcW w:type="dxa" w:w="1234"/>
          </w:tcPr>
          <w:p>
            <w:r>
              <w:rPr>
                <w:sz w:val="17"/>
              </w:rPr>
              <w:t>11.439</w:t>
            </w:r>
          </w:p>
        </w:tc>
        <w:tc>
          <w:tcPr>
            <w:tcW w:type="dxa" w:w="1234"/>
          </w:tcPr>
          <w:p>
            <w:r>
              <w:rPr>
                <w:sz w:val="17"/>
              </w:rPr>
              <w:t>6.619</w:t>
            </w:r>
          </w:p>
        </w:tc>
        <w:tc>
          <w:tcPr>
            <w:tcW w:type="dxa" w:w="1234"/>
          </w:tcPr>
          <w:p>
            <w:r>
              <w:rPr>
                <w:sz w:val="17"/>
              </w:rPr>
              <w:t>5.004</w:t>
            </w:r>
          </w:p>
        </w:tc>
        <w:tc>
          <w:tcPr>
            <w:tcW w:type="dxa" w:w="1234"/>
          </w:tcPr>
          <w:p>
            <w:r>
              <w:rPr>
                <w:sz w:val="17"/>
              </w:rPr>
              <w:t>6.658</w:t>
            </w:r>
          </w:p>
        </w:tc>
        <w:tc>
          <w:tcPr>
            <w:tcW w:type="dxa" w:w="1234"/>
          </w:tcPr>
          <w:p>
            <w:r>
              <w:rPr>
                <w:sz w:val="17"/>
              </w:rPr>
              <w:t>5.108</w:t>
            </w:r>
          </w:p>
        </w:tc>
        <w:tc>
          <w:tcPr>
            <w:tcW w:type="dxa" w:w="1234"/>
          </w:tcPr>
          <w:p>
            <w:r>
              <w:rPr>
                <w:sz w:val="17"/>
              </w:rPr>
              <w:t>7.598</w:t>
            </w:r>
          </w:p>
        </w:tc>
      </w:tr>
      <w:tr>
        <w:tc>
          <w:tcPr>
            <w:tcW w:type="dxa" w:w="1234"/>
          </w:tcPr>
          <w:p>
            <w:r>
              <w:rPr>
                <w:sz w:val="17"/>
              </w:rPr>
              <w:t>tbl_rsd_weight</w:t>
            </w:r>
          </w:p>
        </w:tc>
        <w:tc>
          <w:tcPr>
            <w:tcW w:type="dxa" w:w="1234"/>
          </w:tcPr>
          <w:p>
            <w:r>
              <w:rPr>
                <w:sz w:val="17"/>
              </w:rPr>
              <w:t>0.558</w:t>
            </w:r>
          </w:p>
        </w:tc>
        <w:tc>
          <w:tcPr>
            <w:tcW w:type="dxa" w:w="1234"/>
          </w:tcPr>
          <w:p>
            <w:r>
              <w:rPr>
                <w:sz w:val="17"/>
              </w:rPr>
              <w:t>0.538</w:t>
            </w:r>
          </w:p>
        </w:tc>
        <w:tc>
          <w:tcPr>
            <w:tcW w:type="dxa" w:w="1234"/>
          </w:tcPr>
          <w:p>
            <w:r>
              <w:rPr>
                <w:sz w:val="17"/>
              </w:rPr>
              <w:t>0.605</w:t>
            </w:r>
          </w:p>
        </w:tc>
        <w:tc>
          <w:tcPr>
            <w:tcW w:type="dxa" w:w="1234"/>
          </w:tcPr>
          <w:p>
            <w:r>
              <w:rPr>
                <w:sz w:val="17"/>
              </w:rPr>
              <w:t>0.526</w:t>
            </w:r>
          </w:p>
        </w:tc>
        <w:tc>
          <w:tcPr>
            <w:tcW w:type="dxa" w:w="1234"/>
          </w:tcPr>
          <w:p>
            <w:r>
              <w:rPr>
                <w:sz w:val="17"/>
              </w:rPr>
              <w:t>0.570</w:t>
            </w:r>
          </w:p>
        </w:tc>
        <w:tc>
          <w:tcPr>
            <w:tcW w:type="dxa" w:w="1234"/>
          </w:tcPr>
          <w:p>
            <w:r>
              <w:rPr>
                <w:sz w:val="17"/>
              </w:rPr>
              <w:t>0.554</w:t>
            </w:r>
          </w:p>
        </w:tc>
      </w:tr>
      <w:tr>
        <w:tc>
          <w:tcPr>
            <w:tcW w:type="dxa" w:w="1234"/>
          </w:tcPr>
          <w:p>
            <w:r>
              <w:rPr>
                <w:sz w:val="17"/>
              </w:rPr>
              <w:t>fct_tensile</w:t>
            </w:r>
          </w:p>
        </w:tc>
        <w:tc>
          <w:tcPr>
            <w:tcW w:type="dxa" w:w="1234"/>
          </w:tcPr>
          <w:p>
            <w:r>
              <w:rPr>
                <w:sz w:val="17"/>
              </w:rPr>
              <w:t>0.419</w:t>
            </w:r>
          </w:p>
        </w:tc>
        <w:tc>
          <w:tcPr>
            <w:tcW w:type="dxa" w:w="1234"/>
          </w:tcPr>
          <w:p>
            <w:r>
              <w:rPr>
                <w:sz w:val="17"/>
              </w:rPr>
              <w:t>0.343</w:t>
            </w:r>
          </w:p>
        </w:tc>
        <w:tc>
          <w:tcPr>
            <w:tcW w:type="dxa" w:w="1234"/>
          </w:tcPr>
          <w:p>
            <w:r>
              <w:rPr>
                <w:sz w:val="17"/>
              </w:rPr>
              <w:t>0.255</w:t>
            </w:r>
          </w:p>
        </w:tc>
        <w:tc>
          <w:tcPr>
            <w:tcW w:type="dxa" w:w="1234"/>
          </w:tcPr>
          <w:p>
            <w:r>
              <w:rPr>
                <w:sz w:val="17"/>
              </w:rPr>
              <w:t>0.332</w:t>
            </w:r>
          </w:p>
        </w:tc>
        <w:tc>
          <w:tcPr>
            <w:tcW w:type="dxa" w:w="1234"/>
          </w:tcPr>
          <w:p>
            <w:r>
              <w:rPr>
                <w:sz w:val="17"/>
              </w:rPr>
              <w:t>0.256</w:t>
            </w:r>
          </w:p>
        </w:tc>
        <w:tc>
          <w:tcPr>
            <w:tcW w:type="dxa" w:w="1234"/>
          </w:tcPr>
          <w:p>
            <w:r>
              <w:rPr>
                <w:sz w:val="17"/>
              </w:rPr>
              <w:t>0.349</w:t>
            </w:r>
          </w:p>
        </w:tc>
      </w:tr>
    </w:tbl>
    <w:p>
      <w:r>
        <w:t>MT-TrajNet beats the dummy on three of four targets (hardness, weight RSD, tensile), but not on dissolution, where it sits about 0.19 RMSE below the dummy and about 0.7 RMSE below the tuned baselines. It is closest to the baselines on weight RSD. It does not beat the tuned baselines on the mean for any target, which matches my earlier feasibility finding that the baselines are strong. The value of MT-TrajNet is the calibrated uncertainty, which the baselines cannot give.</w:t>
      </w:r>
    </w:p>
    <w:p>
      <w:r>
        <w:rPr>
          <w:b/>
        </w:rPr>
        <w:t>2. Hardness target distribution</w:t>
      </w:r>
    </w:p>
    <w:p>
      <w:r>
        <w:t>I checked the hardness distribution to understand its high and unstable RMSE. I found that hardness is bimodal: a main cluster around 50 and a second separate cluster around 85 to 95, with mean 54.9, standard deviation 12.7, and range 27 to 102. Its coefficient of variation is 0.231, the second highest of the four targets (dissolution 0.037, weight RSD 0.525, tensile 0.223). The two clusters, likely two product families, mean the model has to fit two regimes, which explains both the high RMSE and the large fold-to-fold spread. My next step is to check whether the two clusters correspond to identifiable product codes, since that would make it a dataset finding for the methodology chapter and would affect how the leave-one-product-code-out test is read.</w:t>
      </w:r>
    </w:p>
    <w:p>
      <w:r>
        <w:rPr>
          <w:b/>
        </w:rPr>
        <w:t>3. Shared-encoder check (single-task vs multi-task)</w:t>
      </w:r>
    </w:p>
    <w:p>
      <w:r>
        <w:t>I trained a separate single-task model for each target and compared them against the shared-encoder multi-task model using the same cross-validation, then applied the Nadeau-Bengio corrected test per target. RMSE and significance: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Target</w:t>
            </w:r>
          </w:p>
        </w:tc>
        <w:tc>
          <w:tcPr>
            <w:tcW w:type="dxa" w:w="1728"/>
          </w:tcPr>
          <w:p>
            <w:r>
              <w:rPr>
                <w:b/>
              </w:rPr>
              <w:t>Single-task</w:t>
            </w:r>
          </w:p>
        </w:tc>
        <w:tc>
          <w:tcPr>
            <w:tcW w:type="dxa" w:w="1728"/>
          </w:tcPr>
          <w:p>
            <w:r>
              <w:rPr>
                <w:b/>
              </w:rPr>
              <w:t>Multi-task</w:t>
            </w:r>
          </w:p>
        </w:tc>
        <w:tc>
          <w:tcPr>
            <w:tcW w:type="dxa" w:w="1728"/>
          </w:tcPr>
          <w:p>
            <w:r>
              <w:rPr>
                <w:b/>
              </w:rPr>
              <w:t>p-value</w:t>
            </w:r>
          </w:p>
        </w:tc>
        <w:tc>
          <w:tcPr>
            <w:tcW w:type="dxa" w:w="1728"/>
          </w:tcPr>
          <w:p>
            <w:r>
              <w:rPr>
                <w:b/>
              </w:rPr>
              <w:t>Significant</w:t>
            </w:r>
          </w:p>
        </w:tc>
      </w:tr>
      <w:tr>
        <w:tc>
          <w:tcPr>
            <w:tcW w:type="dxa" w:w="1728"/>
          </w:tcPr>
          <w:p>
            <w:r>
              <w:t>dissolution_av</w:t>
            </w:r>
          </w:p>
        </w:tc>
        <w:tc>
          <w:tcPr>
            <w:tcW w:type="dxa" w:w="1728"/>
          </w:tcPr>
          <w:p>
            <w:r>
              <w:t>3.442</w:t>
            </w:r>
          </w:p>
        </w:tc>
        <w:tc>
          <w:tcPr>
            <w:tcW w:type="dxa" w:w="1728"/>
          </w:tcPr>
          <w:p>
            <w:r>
              <w:t>3.703</w:t>
            </w:r>
          </w:p>
        </w:tc>
        <w:tc>
          <w:tcPr>
            <w:tcW w:type="dxa" w:w="1728"/>
          </w:tcPr>
          <w:p>
            <w:r>
              <w:t>0.552</w:t>
            </w:r>
          </w:p>
        </w:tc>
        <w:tc>
          <w:tcPr>
            <w:tcW w:type="dxa" w:w="1728"/>
          </w:tcPr>
          <w:p>
            <w:r>
              <w:t>no</w:t>
            </w:r>
          </w:p>
        </w:tc>
      </w:tr>
      <w:tr>
        <w:tc>
          <w:tcPr>
            <w:tcW w:type="dxa" w:w="1728"/>
          </w:tcPr>
          <w:p>
            <w:r>
              <w:t>tbl_av_hardness</w:t>
            </w:r>
          </w:p>
        </w:tc>
        <w:tc>
          <w:tcPr>
            <w:tcW w:type="dxa" w:w="1728"/>
          </w:tcPr>
          <w:p>
            <w:r>
              <w:t>7.794</w:t>
            </w:r>
          </w:p>
        </w:tc>
        <w:tc>
          <w:tcPr>
            <w:tcW w:type="dxa" w:w="1728"/>
          </w:tcPr>
          <w:p>
            <w:r>
              <w:t>7.598</w:t>
            </w:r>
          </w:p>
        </w:tc>
        <w:tc>
          <w:tcPr>
            <w:tcW w:type="dxa" w:w="1728"/>
          </w:tcPr>
          <w:p>
            <w:r>
              <w:t>0.595</w:t>
            </w:r>
          </w:p>
        </w:tc>
        <w:tc>
          <w:tcPr>
            <w:tcW w:type="dxa" w:w="1728"/>
          </w:tcPr>
          <w:p>
            <w:r>
              <w:t>no</w:t>
            </w:r>
          </w:p>
        </w:tc>
      </w:tr>
      <w:tr>
        <w:tc>
          <w:tcPr>
            <w:tcW w:type="dxa" w:w="1728"/>
          </w:tcPr>
          <w:p>
            <w:r>
              <w:t>tbl_rsd_weight</w:t>
            </w:r>
          </w:p>
        </w:tc>
        <w:tc>
          <w:tcPr>
            <w:tcW w:type="dxa" w:w="1728"/>
          </w:tcPr>
          <w:p>
            <w:r>
              <w:t>0.553</w:t>
            </w:r>
          </w:p>
        </w:tc>
        <w:tc>
          <w:tcPr>
            <w:tcW w:type="dxa" w:w="1728"/>
          </w:tcPr>
          <w:p>
            <w:r>
              <w:t>0.554</w:t>
            </w:r>
          </w:p>
        </w:tc>
        <w:tc>
          <w:tcPr>
            <w:tcW w:type="dxa" w:w="1728"/>
          </w:tcPr>
          <w:p>
            <w:r>
              <w:t>0.939</w:t>
            </w:r>
          </w:p>
        </w:tc>
        <w:tc>
          <w:tcPr>
            <w:tcW w:type="dxa" w:w="1728"/>
          </w:tcPr>
          <w:p>
            <w:r>
              <w:t>no</w:t>
            </w:r>
          </w:p>
        </w:tc>
      </w:tr>
      <w:tr>
        <w:tc>
          <w:tcPr>
            <w:tcW w:type="dxa" w:w="1728"/>
          </w:tcPr>
          <w:p>
            <w:r>
              <w:t>fct_tensile</w:t>
            </w:r>
          </w:p>
        </w:tc>
        <w:tc>
          <w:tcPr>
            <w:tcW w:type="dxa" w:w="1728"/>
          </w:tcPr>
          <w:p>
            <w:r>
              <w:t>0.318</w:t>
            </w:r>
          </w:p>
        </w:tc>
        <w:tc>
          <w:tcPr>
            <w:tcW w:type="dxa" w:w="1728"/>
          </w:tcPr>
          <w:p>
            <w:r>
              <w:t>0.349</w:t>
            </w:r>
          </w:p>
        </w:tc>
        <w:tc>
          <w:tcPr>
            <w:tcW w:type="dxa" w:w="1728"/>
          </w:tcPr>
          <w:p>
            <w:r>
              <w:t>0.357</w:t>
            </w:r>
          </w:p>
        </w:tc>
        <w:tc>
          <w:tcPr>
            <w:tcW w:type="dxa" w:w="1728"/>
          </w:tcPr>
          <w:p>
            <w:r>
              <w:t>no</w:t>
            </w:r>
          </w:p>
        </w:tc>
      </w:tr>
    </w:tbl>
    <w:p>
      <w:r>
        <w:t>There is no statistically significant difference between single-task and multi-task performance on any target (p = 0.357 to 0.939). This suggests the shared encoder does not harm individual task accuracy, while providing a more parameter-efficient representation (one shared model instead of four separate ones). I note that no significant difference is evidence of no harm, not proof of exact equivalence.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